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4C20D">
      <w:pPr>
        <w:pageBreakBefore/>
        <w:jc w:val="left"/>
        <w:rPr>
          <w:rFonts w:ascii="方正小标宋_GBK" w:hAnsi="Times New Roman" w:eastAsia="黑体" w:cs="Times New Roman"/>
          <w:sz w:val="44"/>
          <w:szCs w:val="44"/>
        </w:rPr>
      </w:pPr>
      <w:r>
        <w:rPr>
          <w:rFonts w:hint="eastAsia" w:ascii="黑体" w:hAnsi="黑体" w:eastAsia="黑体" w:cs="Times New Roman"/>
          <w:sz w:val="32"/>
          <w:szCs w:val="32"/>
        </w:rPr>
        <w:t>附件2</w:t>
      </w:r>
    </w:p>
    <w:p w14:paraId="67726E00">
      <w:pPr>
        <w:jc w:val="center"/>
        <w:rPr>
          <w:rFonts w:ascii="方正小标宋_GBK" w:hAnsi="Times New Roman" w:eastAsia="方正小标宋_GBK" w:cs="Times New Roman"/>
          <w:sz w:val="44"/>
          <w:szCs w:val="44"/>
        </w:rPr>
      </w:pPr>
      <w:r>
        <w:rPr>
          <w:rFonts w:hint="eastAsia" w:ascii="方正小标宋_GBK" w:hAnsi="Times New Roman" w:eastAsia="方正小标宋_GBK" w:cs="Times New Roman"/>
          <w:sz w:val="44"/>
          <w:szCs w:val="44"/>
        </w:rPr>
        <w:t>标准编制说明编写指南</w:t>
      </w:r>
    </w:p>
    <w:p w14:paraId="2B797668">
      <w:pPr>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一、标准编制工作简况</w:t>
      </w:r>
    </w:p>
    <w:p w14:paraId="227F5862">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本标准由广东产品质量监督检验研究院向广东省照明学会提出立项申请并得到通过。</w:t>
      </w:r>
    </w:p>
    <w:p w14:paraId="69B6F352">
      <w:pPr>
        <w:pStyle w:val="8"/>
        <w:spacing w:after="156" w:afterLines="50"/>
        <w:ind w:left="0" w:leftChars="0" w:firstLine="560"/>
        <w:rPr>
          <w:rFonts w:hint="eastAsia" w:ascii="仿宋" w:hAnsi="仿宋" w:eastAsia="仿宋"/>
          <w:sz w:val="32"/>
          <w:szCs w:val="32"/>
        </w:rPr>
      </w:pPr>
      <w:r>
        <w:rPr>
          <w:rFonts w:hint="eastAsia" w:ascii="仿宋_GB2312" w:hAnsi="仿宋_GB2312" w:eastAsia="仿宋_GB2312" w:cs="仿宋_GB2312"/>
          <w:sz w:val="28"/>
          <w:szCs w:val="28"/>
        </w:rPr>
        <w:t>《中小学校教室照明技术规范》团体标准由广东产品质量监督检验研究院、香港照明学会、澳门照明与光电学会等单位共同编写，其中，香港照明学会负责该标准与香港相关法律法规及学校适用性、澳门照明与光电学会负责该标准与澳门相关法律法规及学校适用性。</w:t>
      </w:r>
    </w:p>
    <w:p w14:paraId="6E313D5D">
      <w:pPr>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二、标准立项的必要性</w:t>
      </w:r>
    </w:p>
    <w:p w14:paraId="2290F385">
      <w:pPr>
        <w:pStyle w:val="17"/>
        <w:ind w:firstLine="560"/>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全国儿童青少年特别是大湾区儿童近视率高居不下，习近平总书记作出重要指示要改善相关情况，中小学生的教室照明达标和改善成为其中重要的举措。广东省教育厅2021年发布《广东省中小学生教室照明改造工作方案》，全面按照有利于视力健康的标准进行教室照明改造，保障中小学生视力健康，实施以来效果良好。与此同时，经过调研发现香港澳门地区的中小学生近视率同样高居不下，而且香港澳门地区中小学校教室照明质量较低，要求较低，缺乏照明环境对视力健康有利的元素，因此编制粤港澳大湾区的中小学校教室照明技术标准迫在眉睫。</w:t>
      </w:r>
    </w:p>
    <w:p w14:paraId="7C56C43A">
      <w:p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粤港澳三地目前执行的规例、规定或技术规范情况，包括：</w:t>
      </w:r>
    </w:p>
    <w:p w14:paraId="5154A5E5">
      <w:pPr>
        <w:numPr>
          <w:ilvl w:val="0"/>
          <w:numId w:val="3"/>
        </w:num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广东地区中小学校教室照明适用：GB 7793《中小学校教室采光和照明卫生标准》、GB/T 36876-2018《中小学校普通教室照明设计安装卫生要求》、DB44/T 2335-2021《中小学校教室照明技术规范》、《强制性产品认证管理规定》。</w:t>
      </w:r>
    </w:p>
    <w:p w14:paraId="2D70E985">
      <w:pPr>
        <w:numPr>
          <w:ilvl w:val="0"/>
          <w:numId w:val="3"/>
        </w:numPr>
        <w:ind w:firstLine="560" w:firstLineChars="2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香港地区适用：香港特别行政区教育规例(第279章，第84条)、香港特别行政区电气产品(安全)规例(第406章第59条)、香港特别行政区工作场所良好职业卫生实践指南-照明、香港特别行政区政府建筑物屋宇设备装置的一般规格-检查、测试和调试具体规则。</w:t>
      </w:r>
    </w:p>
    <w:p w14:paraId="1591D0B3">
      <w:pPr>
        <w:pStyle w:val="17"/>
        <w:ind w:firstLine="560"/>
        <w:rPr>
          <w:rFonts w:hint="eastAsia" w:ascii="仿宋_GB2312" w:hAnsi="仿宋_GB2312" w:eastAsia="仿宋_GB2312" w:cs="仿宋_GB2312"/>
          <w:kern w:val="2"/>
          <w:sz w:val="28"/>
          <w:szCs w:val="28"/>
        </w:rPr>
      </w:pPr>
      <w:r>
        <w:rPr>
          <w:rFonts w:hint="eastAsia" w:ascii="仿宋_GB2312" w:hAnsi="仿宋_GB2312" w:eastAsia="仿宋_GB2312" w:cs="仿宋_GB2312"/>
          <w:sz w:val="28"/>
          <w:szCs w:val="36"/>
        </w:rPr>
        <w:t>3、澳门地区适用：澳门教育与青年发展局推出的《2020/2021年度學校運作指南》、能源发展办公室推出的《澳門建築物能耗優化技術指引》。</w:t>
      </w:r>
    </w:p>
    <w:p w14:paraId="279CC4AD">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综上所述，香港、澳门地区教室照明相关的规例和技术标准不够完善，需要出台合适的教室照明“湾区标准”，把广东省教室照明技术成果应用到香港、澳门地区；本标准在充分调研的基础上，创新增加了光谱、空间视亮度要求和节律照明等有利于中小学生健康的要求，推动大湾区儿童青少年的视力健康保护工作。</w:t>
      </w:r>
    </w:p>
    <w:p w14:paraId="206AB4D0">
      <w:pPr>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三、标准编制原则、主要内容及其确定依据。</w:t>
      </w:r>
    </w:p>
    <w:p w14:paraId="2E093D92">
      <w:pPr>
        <w:spacing w:line="360" w:lineRule="auto"/>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（一）标准编制原则：</w:t>
      </w:r>
    </w:p>
    <w:p w14:paraId="0EE80718">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本着“科学、适度、可行”原则，既考虑标准的前瞻性又顾及企业和学校的实际情况，确保本标准即可以作为指导粤港澳大湾区中小学校教室改造依据，又可以作为各灯具生产企业切实可行的技术规范。</w:t>
      </w:r>
    </w:p>
    <w:p w14:paraId="7E33AC84">
      <w:pPr>
        <w:numPr>
          <w:ilvl w:val="0"/>
          <w:numId w:val="2"/>
        </w:numPr>
        <w:spacing w:line="360" w:lineRule="auto"/>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标准主要内容：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3175"/>
        <w:gridCol w:w="3823"/>
      </w:tblGrid>
      <w:tr w14:paraId="48704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7" w:type="dxa"/>
            <w:vAlign w:val="center"/>
          </w:tcPr>
          <w:p w14:paraId="2240E7C6">
            <w:pPr>
              <w:spacing w:line="480" w:lineRule="auto"/>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章节</w:t>
            </w:r>
          </w:p>
        </w:tc>
        <w:tc>
          <w:tcPr>
            <w:tcW w:w="3175" w:type="dxa"/>
            <w:vAlign w:val="center"/>
          </w:tcPr>
          <w:p w14:paraId="36E7EADC">
            <w:pPr>
              <w:spacing w:line="480" w:lineRule="auto"/>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标题</w:t>
            </w:r>
          </w:p>
        </w:tc>
        <w:tc>
          <w:tcPr>
            <w:tcW w:w="3823" w:type="dxa"/>
            <w:vAlign w:val="center"/>
          </w:tcPr>
          <w:p w14:paraId="12EFBFFB">
            <w:pPr>
              <w:spacing w:line="480" w:lineRule="auto"/>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主要技术内容</w:t>
            </w:r>
          </w:p>
        </w:tc>
      </w:tr>
      <w:tr w14:paraId="2DC0F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7" w:type="dxa"/>
            <w:vAlign w:val="center"/>
          </w:tcPr>
          <w:p w14:paraId="46811F7B">
            <w:pPr>
              <w:spacing w:line="48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3175" w:type="dxa"/>
            <w:vAlign w:val="center"/>
          </w:tcPr>
          <w:p w14:paraId="1DB34F55">
            <w:pPr>
              <w:spacing w:line="48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范围</w:t>
            </w:r>
          </w:p>
        </w:tc>
        <w:tc>
          <w:tcPr>
            <w:tcW w:w="3823" w:type="dxa"/>
            <w:vAlign w:val="center"/>
          </w:tcPr>
          <w:p w14:paraId="644071A2">
            <w:pPr>
              <w:spacing w:line="48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明确本文件的主要内容和适用范围</w:t>
            </w:r>
          </w:p>
        </w:tc>
      </w:tr>
      <w:tr w14:paraId="07C7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7" w:type="dxa"/>
            <w:vAlign w:val="center"/>
          </w:tcPr>
          <w:p w14:paraId="11E51431">
            <w:pPr>
              <w:spacing w:line="48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3175" w:type="dxa"/>
            <w:vAlign w:val="center"/>
          </w:tcPr>
          <w:p w14:paraId="479E4566">
            <w:pPr>
              <w:spacing w:line="48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规范性引用文件</w:t>
            </w:r>
          </w:p>
        </w:tc>
        <w:tc>
          <w:tcPr>
            <w:tcW w:w="3823" w:type="dxa"/>
            <w:vAlign w:val="center"/>
          </w:tcPr>
          <w:p w14:paraId="1569941B">
            <w:pPr>
              <w:spacing w:line="48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规范性引用文件</w:t>
            </w:r>
          </w:p>
        </w:tc>
      </w:tr>
      <w:tr w14:paraId="56B37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7" w:type="dxa"/>
            <w:vAlign w:val="center"/>
          </w:tcPr>
          <w:p w14:paraId="29E3360D">
            <w:pPr>
              <w:spacing w:line="48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3175" w:type="dxa"/>
            <w:vAlign w:val="center"/>
          </w:tcPr>
          <w:p w14:paraId="43419F3F">
            <w:pPr>
              <w:spacing w:line="48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术语和定义</w:t>
            </w:r>
          </w:p>
        </w:tc>
        <w:tc>
          <w:tcPr>
            <w:tcW w:w="3823" w:type="dxa"/>
            <w:vAlign w:val="center"/>
          </w:tcPr>
          <w:p w14:paraId="4F543B1E">
            <w:pPr>
              <w:spacing w:line="48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标识的定义</w:t>
            </w:r>
          </w:p>
        </w:tc>
      </w:tr>
      <w:tr w14:paraId="08EB1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7" w:type="dxa"/>
            <w:vAlign w:val="center"/>
          </w:tcPr>
          <w:p w14:paraId="2D90F655">
            <w:pPr>
              <w:spacing w:line="48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3175" w:type="dxa"/>
            <w:vAlign w:val="center"/>
          </w:tcPr>
          <w:p w14:paraId="7E77BAD6">
            <w:pPr>
              <w:spacing w:line="48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荧光灯灯具技术要求</w:t>
            </w:r>
          </w:p>
        </w:tc>
        <w:tc>
          <w:tcPr>
            <w:tcW w:w="3823" w:type="dxa"/>
            <w:vAlign w:val="center"/>
          </w:tcPr>
          <w:p w14:paraId="7D7E3A14">
            <w:pPr>
              <w:spacing w:line="48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规定荧光灯灯具的安全及技术要求</w:t>
            </w:r>
          </w:p>
        </w:tc>
      </w:tr>
      <w:tr w14:paraId="2EFD9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7" w:type="dxa"/>
            <w:vAlign w:val="center"/>
          </w:tcPr>
          <w:p w14:paraId="02A062E6">
            <w:pPr>
              <w:spacing w:line="48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3175" w:type="dxa"/>
            <w:vAlign w:val="center"/>
          </w:tcPr>
          <w:p w14:paraId="06769C40">
            <w:pPr>
              <w:spacing w:line="48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LED灯具技术要求</w:t>
            </w:r>
          </w:p>
        </w:tc>
        <w:tc>
          <w:tcPr>
            <w:tcW w:w="3823" w:type="dxa"/>
            <w:vAlign w:val="center"/>
          </w:tcPr>
          <w:p w14:paraId="4CF74B86">
            <w:pPr>
              <w:spacing w:line="48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规定LED灯具的安全及技术要求</w:t>
            </w:r>
          </w:p>
        </w:tc>
      </w:tr>
      <w:tr w14:paraId="2CDB4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7" w:type="dxa"/>
            <w:vAlign w:val="center"/>
          </w:tcPr>
          <w:p w14:paraId="44EE9F6B">
            <w:pPr>
              <w:spacing w:line="48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3175" w:type="dxa"/>
            <w:vAlign w:val="center"/>
          </w:tcPr>
          <w:p w14:paraId="07560B48">
            <w:pPr>
              <w:spacing w:line="48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教室的照明质量和节能要求</w:t>
            </w:r>
          </w:p>
        </w:tc>
        <w:tc>
          <w:tcPr>
            <w:tcW w:w="3823" w:type="dxa"/>
            <w:vAlign w:val="center"/>
          </w:tcPr>
          <w:p w14:paraId="0B7886A3">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规定了教室照明质量的各项指标要求和节能要求</w:t>
            </w:r>
          </w:p>
        </w:tc>
      </w:tr>
      <w:tr w14:paraId="22894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7" w:type="dxa"/>
            <w:vAlign w:val="center"/>
          </w:tcPr>
          <w:p w14:paraId="0AD32A6C">
            <w:pPr>
              <w:spacing w:line="48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3175" w:type="dxa"/>
            <w:vAlign w:val="center"/>
          </w:tcPr>
          <w:p w14:paraId="13DBE230">
            <w:pPr>
              <w:spacing w:line="48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安装和维护要求</w:t>
            </w:r>
          </w:p>
        </w:tc>
        <w:tc>
          <w:tcPr>
            <w:tcW w:w="3823" w:type="dxa"/>
            <w:vAlign w:val="center"/>
          </w:tcPr>
          <w:p w14:paraId="71616F9A">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规定了教室灯具和黑板灯具安装维护要求</w:t>
            </w:r>
          </w:p>
        </w:tc>
      </w:tr>
      <w:tr w14:paraId="44E41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7" w:type="dxa"/>
            <w:vAlign w:val="center"/>
          </w:tcPr>
          <w:p w14:paraId="624B973B">
            <w:pPr>
              <w:spacing w:line="48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3175" w:type="dxa"/>
            <w:vAlign w:val="center"/>
          </w:tcPr>
          <w:p w14:paraId="14EFCCF6">
            <w:pPr>
              <w:spacing w:line="48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验收规则</w:t>
            </w:r>
          </w:p>
        </w:tc>
        <w:tc>
          <w:tcPr>
            <w:tcW w:w="3823" w:type="dxa"/>
            <w:vAlign w:val="center"/>
          </w:tcPr>
          <w:p w14:paraId="12812EAC">
            <w:pPr>
              <w:spacing w:line="480" w:lineRule="auto"/>
              <w:rPr>
                <w:rFonts w:hint="eastAsia" w:ascii="仿宋_GB2312" w:hAnsi="仿宋_GB2312" w:cs="仿宋_GB2312"/>
                <w:sz w:val="24"/>
                <w:szCs w:val="24"/>
              </w:rPr>
            </w:pPr>
            <w:r>
              <w:rPr>
                <w:rFonts w:hint="eastAsia" w:ascii="仿宋_GB2312" w:hAnsi="仿宋_GB2312" w:eastAsia="仿宋_GB2312" w:cs="仿宋_GB2312"/>
                <w:sz w:val="24"/>
                <w:szCs w:val="24"/>
              </w:rPr>
              <w:t>规定检测项目及流程</w:t>
            </w:r>
          </w:p>
        </w:tc>
      </w:tr>
    </w:tbl>
    <w:p w14:paraId="700223D3">
      <w:pPr>
        <w:numPr>
          <w:ilvl w:val="0"/>
          <w:numId w:val="2"/>
        </w:numPr>
        <w:spacing w:before="156" w:beforeLines="50" w:line="360" w:lineRule="auto"/>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确定依据：</w:t>
      </w:r>
    </w:p>
    <w:p w14:paraId="690802ED">
      <w:pPr>
        <w:spacing w:after="156" w:afterLines="50"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在编制过程中，编制组依据由广东省教育厅、广东省卫生健康委员会和广东省财政厅联合印发的《广东省中小学校教室照明改造工作实施方案》，以及参考教室照明研究技术成果进行编制。此外，编制组特意到澳门和香港地区调研，参考了香港和澳门当地的法律法规、标准规范以及学校的要求，作为本次湾区标准的主要编写依据。</w:t>
      </w:r>
    </w:p>
    <w:p w14:paraId="7C6C6ED8">
      <w:pPr>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四、标准有何先进性或特色性</w:t>
      </w:r>
    </w:p>
    <w:p w14:paraId="572A5B5F">
      <w:pPr>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本标准在保证符合国家标准的基础上，体现了四个创新点：</w:t>
      </w:r>
    </w:p>
    <w:p w14:paraId="48A3324C">
      <w:pPr>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（一）明确LED灯具的部分特殊产品要求和安装要求，有利于学校安装符合要求的LED灯具，有利于实现“健康、智能、节能”的高质量发展理念。</w:t>
      </w:r>
    </w:p>
    <w:p w14:paraId="01EDDF35">
      <w:pPr>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（二）率先明确教室照明光环境两个档位要求，第一档为国家标准的最低要求，第二档为有利于视力健康和照明节能的更高要求。</w:t>
      </w:r>
    </w:p>
    <w:p w14:paraId="689DDA1B">
      <w:pPr>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三）明确有利于学生视力健康的条款。除提高教室顶部的照度、LED灯具要求红色光R9大于50、现场验收的检验项目加入了频闪、以及鼓励使用获得认证的有利于视力健康相关产品以外，还鼓励使用模拟太阳光的全光谱灯具，相关的参数要求为R1-R15均大于90。此外还考虑了视觉明亮度和非视觉效应，创新性地提出眼部垂直照度、视黑素响应日光（D65）等效照度指标要求。</w:t>
      </w:r>
    </w:p>
    <w:p w14:paraId="1C348A6E">
      <w:pPr>
        <w:spacing w:after="156" w:afterLines="50"/>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（四）明确学校教室照明环境的现场检测项目、检测方法以及检测机构的要求，有助于学校对照明新建或改造工程的验收，保证教室光环境持续达标，为学生提供一个有利于视力健康的学习环境。</w:t>
      </w:r>
    </w:p>
    <w:p w14:paraId="123774E8">
      <w:pPr>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五、标准在粤港澳三地调研、研讨、征求意见及邀请三地专家审定的情况</w:t>
      </w:r>
    </w:p>
    <w:p w14:paraId="69D38341">
      <w:pPr>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为深入贯彻落实《粤港澳大湾区发展规划纲要》，推动粤港澳大湾区照明湾区标准高质量发展，</w:t>
      </w:r>
      <w:r>
        <w:rPr>
          <w:rFonts w:ascii="仿宋" w:hAnsi="仿宋" w:eastAsia="仿宋" w:cs="Times New Roman"/>
          <w:sz w:val="28"/>
          <w:szCs w:val="28"/>
        </w:rPr>
        <w:t>广东省照明学会于2022年与香港照明学会、澳门照明与光电学会签署了战略合作协议。</w:t>
      </w:r>
    </w:p>
    <w:p w14:paraId="53E6EE13">
      <w:pPr>
        <w:ind w:firstLine="560" w:firstLineChars="200"/>
        <w:rPr>
          <w:rFonts w:hint="eastAsia" w:ascii="仿宋" w:hAnsi="仿宋" w:eastAsia="仿宋" w:cs="Times New Roman"/>
          <w:sz w:val="28"/>
          <w:szCs w:val="28"/>
        </w:rPr>
      </w:pPr>
      <w:r>
        <w:rPr>
          <w:rFonts w:ascii="仿宋" w:hAnsi="仿宋" w:eastAsia="仿宋" w:cs="Times New Roman"/>
          <w:sz w:val="28"/>
          <w:szCs w:val="28"/>
        </w:rPr>
        <w:t>为推动此协议的落实、深化“湾区标准”研制方面的合作，</w:t>
      </w:r>
      <w:r>
        <w:rPr>
          <w:rFonts w:hint="eastAsia" w:ascii="仿宋" w:hAnsi="仿宋" w:eastAsia="仿宋" w:cs="Times New Roman"/>
          <w:sz w:val="28"/>
          <w:szCs w:val="28"/>
        </w:rPr>
        <w:t>广东省照明</w:t>
      </w:r>
      <w:r>
        <w:rPr>
          <w:rFonts w:ascii="仿宋" w:hAnsi="仿宋" w:eastAsia="仿宋" w:cs="Times New Roman"/>
          <w:sz w:val="28"/>
          <w:szCs w:val="28"/>
        </w:rPr>
        <w:t>学会秘书长陈海波、常务副秘书长陈玉梅一行，于2023年</w:t>
      </w:r>
      <w:r>
        <w:rPr>
          <w:rFonts w:hint="eastAsia" w:ascii="仿宋" w:hAnsi="仿宋" w:eastAsia="仿宋" w:cs="Times New Roman"/>
          <w:sz w:val="28"/>
          <w:szCs w:val="28"/>
        </w:rPr>
        <w:t>10月</w:t>
      </w:r>
      <w:r>
        <w:rPr>
          <w:rFonts w:ascii="仿宋" w:hAnsi="仿宋" w:eastAsia="仿宋" w:cs="Times New Roman"/>
          <w:sz w:val="28"/>
          <w:szCs w:val="28"/>
        </w:rPr>
        <w:t>组团赴澳门和香港，向澳门照明与光电学会、香港照明学会、香港机电工程署（EMSD）及香港标准及检定中心（HKSTC）进行工作访问</w:t>
      </w:r>
      <w:r>
        <w:rPr>
          <w:rFonts w:hint="eastAsia" w:ascii="仿宋" w:hAnsi="仿宋" w:eastAsia="仿宋" w:cs="Times New Roman"/>
          <w:sz w:val="28"/>
          <w:szCs w:val="28"/>
        </w:rPr>
        <w:t>和调研，研究立项《中小学校教室照明技术规范》湾区标准的可行性。</w:t>
      </w:r>
    </w:p>
    <w:p w14:paraId="1E4B3285">
      <w:pPr>
        <w:ind w:firstLine="560" w:firstLineChars="200"/>
        <w:rPr>
          <w:rFonts w:hint="eastAsia" w:ascii="仿宋" w:hAnsi="仿宋" w:eastAsia="仿宋" w:cs="Times New Roman"/>
          <w:sz w:val="28"/>
          <w:szCs w:val="28"/>
        </w:rPr>
      </w:pPr>
      <w:r>
        <w:rPr>
          <w:rFonts w:ascii="仿宋" w:hAnsi="仿宋" w:eastAsia="仿宋" w:cs="Times New Roman"/>
          <w:sz w:val="28"/>
          <w:szCs w:val="28"/>
        </w:rPr>
        <w:t>通过会谈</w:t>
      </w:r>
      <w:r>
        <w:rPr>
          <w:rFonts w:hint="eastAsia" w:ascii="仿宋" w:hAnsi="仿宋" w:eastAsia="仿宋" w:cs="Times New Roman"/>
          <w:sz w:val="28"/>
          <w:szCs w:val="28"/>
        </w:rPr>
        <w:t>，广东省照明学会、</w:t>
      </w:r>
      <w:r>
        <w:rPr>
          <w:rFonts w:ascii="仿宋" w:hAnsi="仿宋" w:eastAsia="仿宋" w:cs="Times New Roman"/>
          <w:sz w:val="28"/>
          <w:szCs w:val="28"/>
        </w:rPr>
        <w:t>澳门照明与光电学会、香港照明学会三方同意共同立项制订关于教室照明产品的首份“湾区标准”，并商定在</w:t>
      </w:r>
      <w:r>
        <w:rPr>
          <w:rFonts w:hint="eastAsia" w:ascii="仿宋" w:hAnsi="仿宋" w:eastAsia="仿宋" w:cs="Times New Roman"/>
          <w:sz w:val="28"/>
          <w:szCs w:val="28"/>
        </w:rPr>
        <w:t>2024年</w:t>
      </w:r>
      <w:r>
        <w:rPr>
          <w:rFonts w:ascii="仿宋" w:hAnsi="仿宋" w:eastAsia="仿宋" w:cs="Times New Roman"/>
          <w:sz w:val="28"/>
          <w:szCs w:val="28"/>
        </w:rPr>
        <w:t>召开首次标准讨论会，推动标准尽快发布</w:t>
      </w:r>
      <w:r>
        <w:rPr>
          <w:rFonts w:hint="eastAsia" w:ascii="仿宋" w:hAnsi="仿宋" w:eastAsia="仿宋" w:cs="Times New Roman"/>
          <w:sz w:val="28"/>
          <w:szCs w:val="28"/>
        </w:rPr>
        <w:t>。</w:t>
      </w:r>
    </w:p>
    <w:p w14:paraId="7DB880F0">
      <w:pPr>
        <w:ind w:firstLine="560" w:firstLineChars="200"/>
        <w:rPr>
          <w:rFonts w:hint="eastAsia" w:ascii="仿宋" w:hAnsi="仿宋" w:eastAsia="仿宋" w:cs="Times New Roman"/>
          <w:sz w:val="28"/>
          <w:szCs w:val="28"/>
        </w:rPr>
      </w:pPr>
      <w:r>
        <w:rPr>
          <w:rFonts w:ascii="仿宋" w:hAnsi="仿宋" w:eastAsia="仿宋" w:cs="Times New Roman"/>
          <w:sz w:val="28"/>
          <w:szCs w:val="28"/>
        </w:rPr>
        <w:t>2024年3月</w:t>
      </w:r>
      <w:r>
        <w:rPr>
          <w:rFonts w:hint="eastAsia" w:ascii="仿宋" w:hAnsi="仿宋" w:eastAsia="仿宋" w:cs="Times New Roman"/>
          <w:sz w:val="28"/>
          <w:szCs w:val="28"/>
        </w:rPr>
        <w:t>，《中小学校教室照明技术规范》团体标准第一次工作会议在广东质检院顺利召开，</w:t>
      </w:r>
      <w:r>
        <w:rPr>
          <w:rFonts w:ascii="仿宋" w:hAnsi="仿宋" w:eastAsia="仿宋" w:cs="Times New Roman"/>
          <w:sz w:val="28"/>
          <w:szCs w:val="28"/>
        </w:rPr>
        <w:t>广东省教育厅体育卫生与艺术教育处副处长王静娴、</w:t>
      </w:r>
      <w:r>
        <w:rPr>
          <w:rFonts w:hint="eastAsia" w:ascii="仿宋" w:hAnsi="仿宋" w:eastAsia="仿宋" w:cs="Times New Roman"/>
          <w:sz w:val="28"/>
          <w:szCs w:val="28"/>
        </w:rPr>
        <w:t>广东省照明学会常务副理事长何伟洪出席了会议，广东省教育装备中心、中山大学中山眼科中心、广东省疾控中心、广东粤港澳大湾区认证促进中心、香港标准及检定中心、香港照明学会、澳门照明与光电学会等20多家机构和企业共40多人参加了会议。</w:t>
      </w:r>
    </w:p>
    <w:p w14:paraId="00380C8E">
      <w:pPr>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会议上，香港标准及检定中心经理麦兆辉通过介绍香港地区的各项行政法例，阐述了中国大陆和香港地区在照明产品相关标准和政府要求上有何差异。澳门照明与光电学会会长李仲民向大家介绍了澳门地区灯具相关要求和学校教室灯具验收要求，并就围绕粤港澳三地的特点，针对三地的照明标准及测试方法展开了热烈讨论，为标准的进一步完善提供了很多宝贵意见。</w:t>
      </w:r>
    </w:p>
    <w:p w14:paraId="7B732528">
      <w:pPr>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同年7月17日，在采纳第一次工作会议中各位专家提出的建议作出修改后，编制组制定了《中小学校教室照明技术规范（征求意见稿）》，并上传到广东省照明学会官方网站进行意见征集。</w:t>
      </w:r>
    </w:p>
    <w:p w14:paraId="759B4F8F">
      <w:pPr>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经过一个多月的意见征集和采纳整理，起草组编写了《中小学校教室照明技术规范（专家审定稿）》，并于2024年8月20日召开“广东省照明学会团体标准《中小学校教室照明技术规范》专家审定会议”，本次专家审定会议邀请了华南理工大学教授/广东省光电技术协会会长文尚胜、广州市教育基建和装备中心副主任胡晓东、广东省东莞市质量监督检测中心部长李本亮、澳门佳汇(澳门)工程有限公司董事长余彩棉、香港奧德堡照明工程设计经理黃寶麟五名来自中国内地、香港和澳门三地技术专家对该标准进行技术审查。</w:t>
      </w:r>
    </w:p>
    <w:p w14:paraId="2689B6DF">
      <w:pPr>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在专家组对标准进行逐条审查的过程中，采纳了香港标准及检定中心提出的两点意见，分别是把标准条目8.2.1中的“市级或省级及以上”删除，和对标准8.2.3提出的将“应获得中国合格评定国家认可委员会(CNAS )认可和中国计量认证(CMA)合格证书，CNAS 及 CMA 证书应在有效期内”修改为“应获得中国合格评定国家认可委员会(CNAS)认可或国际认可互认体系的其他认可资格，且证书应在有效期内”。</w:t>
      </w:r>
    </w:p>
    <w:p w14:paraId="7EDA8C50">
      <w:pPr>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对澳门永润物业投资有限公司对标准第6点提出的“在常規的全日光燈系統中，最好從建築物整體佈局考慮配置一些白熾燈以產生一些變化和起強調作用的光點。除日常運作的照明系統外，還必須有一套緊急照明系統。對於所有的空間，都要提供不低於 10 勒克司（Lux）光度的緊急照明”，的意见不采纳，原因是因为该建议未量化，缺少指引性，而且标准已有智能控制的建议，应急照明不在本标准的范围内。</w:t>
      </w:r>
    </w:p>
    <w:p w14:paraId="54128762">
      <w:pPr>
        <w:spacing w:after="156" w:afterLines="50"/>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经过专家组对该团体标准的主要条款进行逐条审查后，专家组对本标准给予了高度肯定，认为该标准“标准科学、指标适度、方法可行”，具有较强的创新性、适用性和可操作性，对香港、澳门地区的学校更有着较高的适用性，一致同意将该标准草案作为送审稿报批。</w:t>
      </w:r>
    </w:p>
    <w:p w14:paraId="244D1DEC">
      <w:pPr>
        <w:spacing w:after="156" w:afterLines="50"/>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标准最终于2024年8月26日发布，2024年8月30日实施。</w:t>
      </w:r>
    </w:p>
    <w:p w14:paraId="4D70D26D">
      <w:pPr>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六、重大分歧意见处理情况</w:t>
      </w:r>
    </w:p>
    <w:p w14:paraId="7766D155">
      <w:pPr>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无此情况。</w:t>
      </w:r>
    </w:p>
    <w:p w14:paraId="21B53BCE">
      <w:pPr>
        <w:pStyle w:val="18"/>
        <w:numPr>
          <w:ilvl w:val="0"/>
          <w:numId w:val="4"/>
        </w:numPr>
        <w:ind w:firstLineChars="0"/>
        <w:rPr>
          <w:rFonts w:hint="eastAsia" w:ascii="黑体" w:hAnsi="黑体" w:eastAsia="黑体" w:cs="Times New Roman"/>
          <w:sz w:val="32"/>
          <w:szCs w:val="32"/>
        </w:rPr>
      </w:pPr>
      <w:r>
        <w:rPr>
          <w:rFonts w:hint="eastAsia" w:ascii="黑体" w:hAnsi="黑体" w:eastAsia="黑体" w:cs="Times New Roman"/>
          <w:sz w:val="32"/>
          <w:szCs w:val="32"/>
        </w:rPr>
        <w:t>技术指标设置的科学性和可行性</w:t>
      </w:r>
    </w:p>
    <w:p w14:paraId="1F88B69D">
      <w:pPr>
        <w:ind w:firstLine="560" w:firstLineChars="200"/>
        <w:jc w:val="left"/>
        <w:rPr>
          <w:rFonts w:hint="eastAsia" w:ascii="仿宋" w:hAnsi="仿宋" w:eastAsia="仿宋" w:cs="Times New Roman"/>
          <w:sz w:val="28"/>
          <w:szCs w:val="28"/>
        </w:rPr>
      </w:pPr>
      <w:r>
        <w:rPr>
          <w:rFonts w:hint="eastAsia" w:ascii="仿宋" w:hAnsi="仿宋" w:eastAsia="仿宋" w:cs="Times New Roman"/>
          <w:sz w:val="28"/>
          <w:szCs w:val="28"/>
        </w:rPr>
        <w:t>该标准规定了中小学校教室照明技术的荧光灯灯具技术要求、LED灯具技术要求、教室的照明质量和节能要求、安装和维护要求及验收规则；创新性地提出眼部垂直照度、视黑素响应日光（D65）等效照度指标要求及中小学校教室照明质量和节能分档要求；标准科学、指标适度、方法可行，具有较强的创新性、适用性和可操作性。</w:t>
      </w:r>
    </w:p>
    <w:p w14:paraId="48930933">
      <w:pPr>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八、标准</w:t>
      </w:r>
      <w:r>
        <w:rPr>
          <w:rFonts w:ascii="黑体" w:hAnsi="黑体" w:eastAsia="黑体" w:cs="Times New Roman"/>
          <w:sz w:val="32"/>
          <w:szCs w:val="32"/>
        </w:rPr>
        <w:t>对比及采标情况分析</w:t>
      </w:r>
    </w:p>
    <w:p w14:paraId="759DBDA3">
      <w:pPr>
        <w:ind w:firstLine="442" w:firstLineChars="200"/>
        <w:jc w:val="left"/>
        <w:outlineLvl w:val="1"/>
        <w:rPr>
          <w:rFonts w:hint="eastAsia" w:ascii="宋体" w:hAnsi="宋体" w:cs="宋体"/>
          <w:b/>
          <w:sz w:val="22"/>
          <w:szCs w:val="21"/>
        </w:rPr>
      </w:pPr>
    </w:p>
    <w:tbl>
      <w:tblPr>
        <w:tblStyle w:val="9"/>
        <w:tblW w:w="9998" w:type="dxa"/>
        <w:tblInd w:w="-20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554"/>
        <w:gridCol w:w="2658"/>
        <w:gridCol w:w="2426"/>
        <w:gridCol w:w="2360"/>
      </w:tblGrid>
      <w:tr w14:paraId="2E2D63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12" w:type="dxa"/>
            <w:gridSpan w:val="2"/>
            <w:tcBorders>
              <w:top w:val="single" w:color="auto" w:sz="12" w:space="0"/>
              <w:bottom w:val="single" w:color="auto" w:sz="12" w:space="0"/>
            </w:tcBorders>
            <w:vAlign w:val="center"/>
          </w:tcPr>
          <w:p w14:paraId="3F811285">
            <w:pPr>
              <w:pStyle w:val="21"/>
              <w:widowControl w:val="0"/>
              <w:ind w:firstLine="0" w:firstLineChars="0"/>
              <w:jc w:val="center"/>
              <w:rPr>
                <w:rFonts w:ascii="Times New Roman"/>
                <w:sz w:val="21"/>
              </w:rPr>
            </w:pPr>
            <w:r>
              <w:rPr>
                <w:rFonts w:ascii="Times New Roman"/>
                <w:sz w:val="21"/>
              </w:rPr>
              <w:t>中小学校教室照明评价指标</w:t>
            </w:r>
          </w:p>
        </w:tc>
        <w:tc>
          <w:tcPr>
            <w:tcW w:w="2426" w:type="dxa"/>
            <w:tcBorders>
              <w:top w:val="single" w:color="auto" w:sz="12" w:space="0"/>
              <w:bottom w:val="single" w:color="auto" w:sz="12" w:space="0"/>
            </w:tcBorders>
            <w:vAlign w:val="center"/>
          </w:tcPr>
          <w:p w14:paraId="55B05F58">
            <w:pPr>
              <w:pStyle w:val="21"/>
              <w:widowControl w:val="0"/>
              <w:ind w:firstLine="0" w:firstLineChars="0"/>
              <w:jc w:val="center"/>
              <w:rPr>
                <w:rFonts w:ascii="Times New Roman"/>
                <w:sz w:val="21"/>
              </w:rPr>
            </w:pPr>
            <w:r>
              <w:rPr>
                <w:rFonts w:ascii="Times New Roman"/>
                <w:sz w:val="21"/>
              </w:rPr>
              <w:t>本</w:t>
            </w:r>
            <w:r>
              <w:rPr>
                <w:rFonts w:hint="eastAsia" w:ascii="Times New Roman"/>
                <w:sz w:val="21"/>
              </w:rPr>
              <w:t>标准</w:t>
            </w:r>
            <w:r>
              <w:rPr>
                <w:rFonts w:ascii="Times New Roman"/>
                <w:sz w:val="21"/>
              </w:rPr>
              <w:t>指标</w:t>
            </w:r>
          </w:p>
        </w:tc>
        <w:tc>
          <w:tcPr>
            <w:tcW w:w="2360" w:type="dxa"/>
            <w:tcBorders>
              <w:top w:val="single" w:color="auto" w:sz="12" w:space="0"/>
              <w:bottom w:val="single" w:color="auto" w:sz="12" w:space="0"/>
            </w:tcBorders>
            <w:vAlign w:val="center"/>
          </w:tcPr>
          <w:p w14:paraId="6A468371">
            <w:pPr>
              <w:pStyle w:val="21"/>
              <w:widowControl w:val="0"/>
              <w:ind w:firstLine="0" w:firstLineChars="0"/>
              <w:jc w:val="center"/>
              <w:rPr>
                <w:rFonts w:ascii="Times New Roman"/>
                <w:sz w:val="21"/>
              </w:rPr>
            </w:pPr>
            <w:r>
              <w:rPr>
                <w:rFonts w:ascii="Times New Roman"/>
                <w:sz w:val="21"/>
              </w:rPr>
              <w:t>国家标准指标</w:t>
            </w:r>
          </w:p>
        </w:tc>
      </w:tr>
      <w:tr w14:paraId="618825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4" w:type="dxa"/>
            <w:vMerge w:val="restart"/>
            <w:vAlign w:val="center"/>
          </w:tcPr>
          <w:p w14:paraId="1E3D3A12">
            <w:pPr>
              <w:pStyle w:val="21"/>
              <w:widowControl w:val="0"/>
              <w:ind w:firstLine="0" w:firstLineChars="0"/>
              <w:jc w:val="center"/>
              <w:rPr>
                <w:rFonts w:ascii="Times New Roman"/>
                <w:sz w:val="21"/>
              </w:rPr>
            </w:pPr>
            <w:r>
              <w:rPr>
                <w:rFonts w:ascii="Times New Roman"/>
                <w:sz w:val="21"/>
              </w:rPr>
              <w:t>课桌面照度(lx)</w:t>
            </w:r>
          </w:p>
        </w:tc>
        <w:tc>
          <w:tcPr>
            <w:tcW w:w="2658" w:type="dxa"/>
            <w:vAlign w:val="center"/>
          </w:tcPr>
          <w:p w14:paraId="2DE98A4C">
            <w:pPr>
              <w:pStyle w:val="21"/>
              <w:widowControl w:val="0"/>
              <w:ind w:firstLine="0" w:firstLineChars="0"/>
              <w:jc w:val="center"/>
              <w:rPr>
                <w:rFonts w:ascii="Times New Roman"/>
                <w:sz w:val="21"/>
              </w:rPr>
            </w:pPr>
            <w:r>
              <w:rPr>
                <w:rFonts w:ascii="Times New Roman"/>
                <w:sz w:val="21"/>
              </w:rPr>
              <w:t>维持平均照度</w:t>
            </w:r>
          </w:p>
        </w:tc>
        <w:tc>
          <w:tcPr>
            <w:tcW w:w="2426" w:type="dxa"/>
            <w:vAlign w:val="center"/>
          </w:tcPr>
          <w:p w14:paraId="736B6391">
            <w:pPr>
              <w:pStyle w:val="21"/>
              <w:widowControl w:val="0"/>
              <w:ind w:firstLine="0" w:firstLineChars="0"/>
              <w:jc w:val="center"/>
              <w:rPr>
                <w:rFonts w:ascii="Times New Roman"/>
                <w:sz w:val="21"/>
              </w:rPr>
            </w:pPr>
            <w:r>
              <w:rPr>
                <w:rFonts w:ascii="Times New Roman"/>
                <w:sz w:val="21"/>
              </w:rPr>
              <w:t>≥500</w:t>
            </w:r>
          </w:p>
        </w:tc>
        <w:tc>
          <w:tcPr>
            <w:tcW w:w="2360" w:type="dxa"/>
            <w:vAlign w:val="center"/>
          </w:tcPr>
          <w:p w14:paraId="79D7A955">
            <w:pPr>
              <w:pStyle w:val="21"/>
              <w:widowControl w:val="0"/>
              <w:ind w:firstLine="0" w:firstLineChars="0"/>
              <w:jc w:val="center"/>
              <w:rPr>
                <w:rFonts w:ascii="Times New Roman"/>
                <w:sz w:val="21"/>
              </w:rPr>
            </w:pPr>
            <w:r>
              <w:rPr>
                <w:rFonts w:ascii="Times New Roman"/>
                <w:sz w:val="21"/>
              </w:rPr>
              <w:t>≥300</w:t>
            </w:r>
          </w:p>
        </w:tc>
      </w:tr>
      <w:tr w14:paraId="0818BF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4" w:type="dxa"/>
            <w:vMerge w:val="continue"/>
            <w:vAlign w:val="center"/>
          </w:tcPr>
          <w:p w14:paraId="3F090BF2">
            <w:pPr>
              <w:pStyle w:val="21"/>
              <w:widowControl w:val="0"/>
              <w:ind w:firstLine="0" w:firstLineChars="0"/>
              <w:jc w:val="center"/>
              <w:rPr>
                <w:rFonts w:ascii="Times New Roman"/>
                <w:sz w:val="21"/>
              </w:rPr>
            </w:pPr>
          </w:p>
        </w:tc>
        <w:tc>
          <w:tcPr>
            <w:tcW w:w="2658" w:type="dxa"/>
            <w:vAlign w:val="center"/>
          </w:tcPr>
          <w:p w14:paraId="591C0FA4">
            <w:pPr>
              <w:pStyle w:val="21"/>
              <w:widowControl w:val="0"/>
              <w:ind w:firstLine="0" w:firstLineChars="0"/>
              <w:jc w:val="center"/>
              <w:rPr>
                <w:rFonts w:ascii="Times New Roman"/>
                <w:sz w:val="21"/>
              </w:rPr>
            </w:pPr>
            <w:r>
              <w:rPr>
                <w:rFonts w:ascii="Times New Roman"/>
                <w:sz w:val="21"/>
              </w:rPr>
              <w:t>照度均匀度</w:t>
            </w:r>
          </w:p>
        </w:tc>
        <w:tc>
          <w:tcPr>
            <w:tcW w:w="2426" w:type="dxa"/>
            <w:vAlign w:val="center"/>
          </w:tcPr>
          <w:p w14:paraId="2490E06B">
            <w:pPr>
              <w:pStyle w:val="21"/>
              <w:widowControl w:val="0"/>
              <w:ind w:firstLine="0" w:firstLineChars="0"/>
              <w:jc w:val="center"/>
              <w:rPr>
                <w:rFonts w:ascii="Times New Roman"/>
                <w:sz w:val="21"/>
              </w:rPr>
            </w:pPr>
            <w:r>
              <w:rPr>
                <w:rFonts w:ascii="Times New Roman"/>
                <w:sz w:val="21"/>
              </w:rPr>
              <w:t>≥0.7</w:t>
            </w:r>
          </w:p>
        </w:tc>
        <w:tc>
          <w:tcPr>
            <w:tcW w:w="2360" w:type="dxa"/>
            <w:vAlign w:val="center"/>
          </w:tcPr>
          <w:p w14:paraId="64FE3A8A">
            <w:pPr>
              <w:pStyle w:val="21"/>
              <w:widowControl w:val="0"/>
              <w:ind w:firstLine="0" w:firstLineChars="0"/>
              <w:jc w:val="center"/>
              <w:rPr>
                <w:rFonts w:ascii="Times New Roman"/>
                <w:sz w:val="21"/>
              </w:rPr>
            </w:pPr>
            <w:r>
              <w:rPr>
                <w:rFonts w:ascii="Times New Roman"/>
                <w:sz w:val="21"/>
              </w:rPr>
              <w:t>≥0.7</w:t>
            </w:r>
          </w:p>
        </w:tc>
      </w:tr>
      <w:tr w14:paraId="67939B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4" w:type="dxa"/>
            <w:vMerge w:val="restart"/>
            <w:vAlign w:val="center"/>
          </w:tcPr>
          <w:p w14:paraId="388635B1">
            <w:pPr>
              <w:pStyle w:val="21"/>
              <w:widowControl w:val="0"/>
              <w:ind w:firstLine="0" w:firstLineChars="0"/>
              <w:jc w:val="center"/>
              <w:rPr>
                <w:rFonts w:ascii="Times New Roman"/>
                <w:sz w:val="21"/>
              </w:rPr>
            </w:pPr>
            <w:r>
              <w:rPr>
                <w:rFonts w:ascii="Times New Roman"/>
                <w:sz w:val="21"/>
              </w:rPr>
              <w:t>黑板面照度(lx)</w:t>
            </w:r>
          </w:p>
        </w:tc>
        <w:tc>
          <w:tcPr>
            <w:tcW w:w="2658" w:type="dxa"/>
            <w:vAlign w:val="center"/>
          </w:tcPr>
          <w:p w14:paraId="0FC6930E">
            <w:pPr>
              <w:pStyle w:val="21"/>
              <w:widowControl w:val="0"/>
              <w:ind w:firstLine="0" w:firstLineChars="0"/>
              <w:jc w:val="center"/>
              <w:rPr>
                <w:rFonts w:ascii="Times New Roman"/>
                <w:sz w:val="21"/>
              </w:rPr>
            </w:pPr>
            <w:r>
              <w:rPr>
                <w:rFonts w:ascii="Times New Roman"/>
                <w:sz w:val="21"/>
              </w:rPr>
              <w:t>维持平均照度</w:t>
            </w:r>
          </w:p>
        </w:tc>
        <w:tc>
          <w:tcPr>
            <w:tcW w:w="2426" w:type="dxa"/>
            <w:vAlign w:val="center"/>
          </w:tcPr>
          <w:p w14:paraId="50044C10">
            <w:pPr>
              <w:pStyle w:val="21"/>
              <w:widowControl w:val="0"/>
              <w:ind w:firstLine="0" w:firstLineChars="0"/>
              <w:jc w:val="center"/>
              <w:rPr>
                <w:rFonts w:ascii="Times New Roman"/>
                <w:sz w:val="21"/>
              </w:rPr>
            </w:pPr>
            <w:r>
              <w:rPr>
                <w:rFonts w:ascii="Times New Roman"/>
                <w:sz w:val="21"/>
              </w:rPr>
              <w:t>≥750</w:t>
            </w:r>
          </w:p>
        </w:tc>
        <w:tc>
          <w:tcPr>
            <w:tcW w:w="2360" w:type="dxa"/>
            <w:vAlign w:val="center"/>
          </w:tcPr>
          <w:p w14:paraId="4FE6E2B2">
            <w:pPr>
              <w:pStyle w:val="21"/>
              <w:widowControl w:val="0"/>
              <w:ind w:firstLine="0" w:firstLineChars="0"/>
              <w:jc w:val="center"/>
              <w:rPr>
                <w:rFonts w:ascii="Times New Roman"/>
                <w:sz w:val="21"/>
              </w:rPr>
            </w:pPr>
            <w:r>
              <w:rPr>
                <w:rFonts w:ascii="Times New Roman"/>
                <w:sz w:val="21"/>
              </w:rPr>
              <w:t>≥500</w:t>
            </w:r>
          </w:p>
        </w:tc>
      </w:tr>
      <w:tr w14:paraId="6F37BA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4" w:type="dxa"/>
            <w:vMerge w:val="continue"/>
            <w:vAlign w:val="center"/>
          </w:tcPr>
          <w:p w14:paraId="24B52FB8">
            <w:pPr>
              <w:pStyle w:val="21"/>
              <w:widowControl w:val="0"/>
              <w:ind w:firstLine="0" w:firstLineChars="0"/>
              <w:jc w:val="center"/>
              <w:rPr>
                <w:rFonts w:ascii="Times New Roman"/>
                <w:sz w:val="21"/>
              </w:rPr>
            </w:pPr>
          </w:p>
        </w:tc>
        <w:tc>
          <w:tcPr>
            <w:tcW w:w="2658" w:type="dxa"/>
            <w:vAlign w:val="center"/>
          </w:tcPr>
          <w:p w14:paraId="55F470EC">
            <w:pPr>
              <w:pStyle w:val="21"/>
              <w:widowControl w:val="0"/>
              <w:ind w:firstLine="0" w:firstLineChars="0"/>
              <w:jc w:val="center"/>
              <w:rPr>
                <w:rFonts w:ascii="Times New Roman"/>
                <w:sz w:val="21"/>
              </w:rPr>
            </w:pPr>
            <w:r>
              <w:rPr>
                <w:rFonts w:ascii="Times New Roman"/>
                <w:sz w:val="21"/>
              </w:rPr>
              <w:t>照度均匀度</w:t>
            </w:r>
          </w:p>
        </w:tc>
        <w:tc>
          <w:tcPr>
            <w:tcW w:w="2426" w:type="dxa"/>
            <w:vAlign w:val="center"/>
          </w:tcPr>
          <w:p w14:paraId="1D9CE7BA">
            <w:pPr>
              <w:pStyle w:val="21"/>
              <w:widowControl w:val="0"/>
              <w:ind w:firstLine="0" w:firstLineChars="0"/>
              <w:jc w:val="center"/>
              <w:rPr>
                <w:rFonts w:ascii="Times New Roman"/>
                <w:sz w:val="21"/>
              </w:rPr>
            </w:pPr>
            <w:r>
              <w:rPr>
                <w:rFonts w:ascii="Times New Roman"/>
                <w:sz w:val="21"/>
              </w:rPr>
              <w:t>≥0.8</w:t>
            </w:r>
          </w:p>
        </w:tc>
        <w:tc>
          <w:tcPr>
            <w:tcW w:w="2360" w:type="dxa"/>
            <w:vAlign w:val="center"/>
          </w:tcPr>
          <w:p w14:paraId="277283D1">
            <w:pPr>
              <w:pStyle w:val="21"/>
              <w:widowControl w:val="0"/>
              <w:ind w:firstLine="0" w:firstLineChars="0"/>
              <w:jc w:val="center"/>
              <w:rPr>
                <w:rFonts w:ascii="Times New Roman"/>
                <w:sz w:val="21"/>
              </w:rPr>
            </w:pPr>
            <w:r>
              <w:rPr>
                <w:rFonts w:ascii="Times New Roman"/>
                <w:sz w:val="21"/>
              </w:rPr>
              <w:t>≥0.8</w:t>
            </w:r>
          </w:p>
        </w:tc>
      </w:tr>
      <w:tr w14:paraId="248343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4" w:type="dxa"/>
            <w:vAlign w:val="center"/>
          </w:tcPr>
          <w:p w14:paraId="47EA39E0">
            <w:pPr>
              <w:pStyle w:val="21"/>
              <w:widowControl w:val="0"/>
              <w:ind w:firstLine="0" w:firstLineChars="0"/>
              <w:jc w:val="center"/>
              <w:rPr>
                <w:rFonts w:ascii="Times New Roman"/>
                <w:sz w:val="21"/>
              </w:rPr>
            </w:pPr>
            <w:r>
              <w:rPr>
                <w:rFonts w:ascii="Times New Roman"/>
                <w:sz w:val="21"/>
              </w:rPr>
              <w:t>功率密度（W/m</w:t>
            </w:r>
            <w:r>
              <w:rPr>
                <w:rFonts w:ascii="Times New Roman"/>
                <w:sz w:val="21"/>
                <w:vertAlign w:val="superscript"/>
              </w:rPr>
              <w:t>2</w:t>
            </w:r>
            <w:r>
              <w:rPr>
                <w:rFonts w:ascii="Times New Roman"/>
                <w:sz w:val="21"/>
              </w:rPr>
              <w:t>）</w:t>
            </w:r>
          </w:p>
        </w:tc>
        <w:tc>
          <w:tcPr>
            <w:tcW w:w="2658" w:type="dxa"/>
            <w:vAlign w:val="center"/>
          </w:tcPr>
          <w:p w14:paraId="7FBB3198">
            <w:pPr>
              <w:pStyle w:val="21"/>
              <w:widowControl w:val="0"/>
              <w:ind w:firstLine="0" w:firstLineChars="0"/>
              <w:jc w:val="center"/>
              <w:rPr>
                <w:rFonts w:ascii="Times New Roman"/>
                <w:sz w:val="21"/>
              </w:rPr>
            </w:pPr>
            <w:r>
              <w:rPr>
                <w:rFonts w:ascii="Times New Roman"/>
                <w:spacing w:val="11"/>
                <w:sz w:val="21"/>
              </w:rPr>
              <w:t>现场教室灯具实测总</w:t>
            </w:r>
            <w:r>
              <w:rPr>
                <w:rFonts w:ascii="Times New Roman"/>
                <w:spacing w:val="-113"/>
                <w:sz w:val="21"/>
              </w:rPr>
              <w:t xml:space="preserve"> </w:t>
            </w:r>
            <w:r>
              <w:rPr>
                <w:rFonts w:ascii="Times New Roman"/>
                <w:sz w:val="21"/>
              </w:rPr>
              <w:t>输入功率与教室面积之比</w:t>
            </w:r>
          </w:p>
        </w:tc>
        <w:tc>
          <w:tcPr>
            <w:tcW w:w="2426" w:type="dxa"/>
            <w:vAlign w:val="center"/>
          </w:tcPr>
          <w:p w14:paraId="4B6A91A6">
            <w:pPr>
              <w:pStyle w:val="21"/>
              <w:widowControl w:val="0"/>
              <w:ind w:firstLine="0" w:firstLineChars="0"/>
              <w:jc w:val="center"/>
              <w:rPr>
                <w:rFonts w:ascii="Times New Roman"/>
                <w:sz w:val="21"/>
              </w:rPr>
            </w:pPr>
            <w:r>
              <w:rPr>
                <w:rFonts w:ascii="Times New Roman"/>
                <w:sz w:val="21"/>
              </w:rPr>
              <w:t>≤7</w:t>
            </w:r>
          </w:p>
        </w:tc>
        <w:tc>
          <w:tcPr>
            <w:tcW w:w="2360" w:type="dxa"/>
            <w:vAlign w:val="center"/>
          </w:tcPr>
          <w:p w14:paraId="526269D7">
            <w:pPr>
              <w:pStyle w:val="21"/>
              <w:widowControl w:val="0"/>
              <w:ind w:firstLine="0" w:firstLineChars="0"/>
              <w:jc w:val="center"/>
              <w:rPr>
                <w:rFonts w:ascii="Times New Roman"/>
                <w:sz w:val="21"/>
              </w:rPr>
            </w:pPr>
            <w:r>
              <w:rPr>
                <w:rFonts w:ascii="Times New Roman"/>
                <w:sz w:val="21"/>
              </w:rPr>
              <w:t>≤11</w:t>
            </w:r>
          </w:p>
        </w:tc>
      </w:tr>
      <w:tr w14:paraId="0C6130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4" w:type="dxa"/>
            <w:vAlign w:val="center"/>
          </w:tcPr>
          <w:p w14:paraId="5ABFBDFD">
            <w:pPr>
              <w:pStyle w:val="21"/>
              <w:widowControl w:val="0"/>
              <w:ind w:firstLine="0" w:firstLineChars="0"/>
              <w:jc w:val="center"/>
              <w:rPr>
                <w:rFonts w:ascii="Times New Roman"/>
                <w:sz w:val="21"/>
              </w:rPr>
            </w:pPr>
            <w:r>
              <w:rPr>
                <w:rFonts w:ascii="Times New Roman"/>
                <w:sz w:val="21"/>
              </w:rPr>
              <w:t>统一眩光值</w:t>
            </w:r>
          </w:p>
        </w:tc>
        <w:tc>
          <w:tcPr>
            <w:tcW w:w="2658" w:type="dxa"/>
            <w:vAlign w:val="center"/>
          </w:tcPr>
          <w:p w14:paraId="08E86EA0">
            <w:pPr>
              <w:pStyle w:val="21"/>
              <w:widowControl w:val="0"/>
              <w:ind w:firstLine="0" w:firstLineChars="0"/>
              <w:jc w:val="center"/>
              <w:rPr>
                <w:rFonts w:ascii="Times New Roman"/>
                <w:sz w:val="21"/>
              </w:rPr>
            </w:pPr>
            <w:r>
              <w:rPr>
                <w:rFonts w:ascii="Times New Roman"/>
                <w:sz w:val="21"/>
              </w:rPr>
              <w:t>教室现场统一眩光值</w:t>
            </w:r>
          </w:p>
        </w:tc>
        <w:tc>
          <w:tcPr>
            <w:tcW w:w="2426" w:type="dxa"/>
            <w:vAlign w:val="center"/>
          </w:tcPr>
          <w:p w14:paraId="57E8B030">
            <w:pPr>
              <w:pStyle w:val="21"/>
              <w:widowControl w:val="0"/>
              <w:ind w:firstLine="0" w:firstLineChars="0"/>
              <w:jc w:val="center"/>
              <w:rPr>
                <w:rFonts w:ascii="Times New Roman"/>
                <w:sz w:val="21"/>
              </w:rPr>
            </w:pPr>
            <w:r>
              <w:rPr>
                <w:rFonts w:ascii="Times New Roman"/>
                <w:sz w:val="21"/>
              </w:rPr>
              <w:t>≤16</w:t>
            </w:r>
          </w:p>
        </w:tc>
        <w:tc>
          <w:tcPr>
            <w:tcW w:w="2360" w:type="dxa"/>
            <w:vAlign w:val="center"/>
          </w:tcPr>
          <w:p w14:paraId="14BC06E5">
            <w:pPr>
              <w:pStyle w:val="21"/>
              <w:widowControl w:val="0"/>
              <w:ind w:firstLine="0" w:firstLineChars="0"/>
              <w:jc w:val="center"/>
              <w:rPr>
                <w:rFonts w:ascii="Times New Roman"/>
                <w:sz w:val="21"/>
              </w:rPr>
            </w:pPr>
            <w:r>
              <w:rPr>
                <w:rFonts w:ascii="Times New Roman"/>
                <w:sz w:val="21"/>
              </w:rPr>
              <w:t>≤19</w:t>
            </w:r>
          </w:p>
        </w:tc>
      </w:tr>
      <w:tr w14:paraId="4935D6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4" w:type="dxa"/>
            <w:vAlign w:val="center"/>
          </w:tcPr>
          <w:p w14:paraId="078B5FAD">
            <w:pPr>
              <w:pStyle w:val="21"/>
              <w:widowControl w:val="0"/>
              <w:ind w:firstLine="0" w:firstLineChars="0"/>
              <w:jc w:val="center"/>
              <w:rPr>
                <w:rFonts w:ascii="Times New Roman"/>
                <w:sz w:val="21"/>
              </w:rPr>
            </w:pPr>
            <w:r>
              <w:rPr>
                <w:rFonts w:ascii="Times New Roman"/>
                <w:sz w:val="21"/>
              </w:rPr>
              <w:t>相关色温（K）</w:t>
            </w:r>
          </w:p>
        </w:tc>
        <w:tc>
          <w:tcPr>
            <w:tcW w:w="2658" w:type="dxa"/>
            <w:vAlign w:val="center"/>
          </w:tcPr>
          <w:p w14:paraId="08E22B6B">
            <w:pPr>
              <w:pStyle w:val="21"/>
              <w:widowControl w:val="0"/>
              <w:ind w:firstLine="0" w:firstLineChars="0"/>
              <w:jc w:val="center"/>
              <w:rPr>
                <w:rFonts w:ascii="Times New Roman"/>
                <w:sz w:val="21"/>
              </w:rPr>
            </w:pPr>
            <w:r>
              <w:rPr>
                <w:rFonts w:ascii="Times New Roman"/>
                <w:sz w:val="21"/>
              </w:rPr>
              <w:t>课桌面相关色温</w:t>
            </w:r>
          </w:p>
        </w:tc>
        <w:tc>
          <w:tcPr>
            <w:tcW w:w="2426" w:type="dxa"/>
            <w:vAlign w:val="center"/>
          </w:tcPr>
          <w:p w14:paraId="67A86ADB">
            <w:pPr>
              <w:ind w:left="4"/>
              <w:jc w:val="center"/>
              <w:rPr>
                <w:kern w:val="0"/>
                <w:szCs w:val="21"/>
              </w:rPr>
            </w:pPr>
            <w:r>
              <w:rPr>
                <w:rFonts w:ascii="Times New Roman" w:hAnsi="Times New Roman" w:eastAsia="宋体" w:cs="Times New Roman"/>
                <w:kern w:val="0"/>
                <w:szCs w:val="21"/>
              </w:rPr>
              <w:t>3300-</w:t>
            </w:r>
          </w:p>
          <w:p w14:paraId="43183C3C">
            <w:pPr>
              <w:pStyle w:val="21"/>
              <w:widowControl w:val="0"/>
              <w:ind w:firstLine="0" w:firstLineChars="0"/>
              <w:jc w:val="center"/>
              <w:rPr>
                <w:rFonts w:ascii="Times New Roman"/>
                <w:sz w:val="21"/>
              </w:rPr>
            </w:pPr>
            <w:r>
              <w:rPr>
                <w:rFonts w:ascii="Times New Roman"/>
                <w:sz w:val="21"/>
              </w:rPr>
              <w:t>5300</w:t>
            </w:r>
          </w:p>
        </w:tc>
        <w:tc>
          <w:tcPr>
            <w:tcW w:w="2360" w:type="dxa"/>
            <w:vAlign w:val="center"/>
          </w:tcPr>
          <w:p w14:paraId="13CB9A1F">
            <w:pPr>
              <w:ind w:left="4"/>
              <w:jc w:val="center"/>
              <w:rPr>
                <w:kern w:val="0"/>
                <w:szCs w:val="21"/>
              </w:rPr>
            </w:pPr>
            <w:r>
              <w:rPr>
                <w:rFonts w:ascii="Times New Roman" w:hAnsi="Times New Roman" w:eastAsia="宋体" w:cs="Times New Roman"/>
                <w:kern w:val="0"/>
                <w:szCs w:val="21"/>
              </w:rPr>
              <w:t>3300-</w:t>
            </w:r>
          </w:p>
          <w:p w14:paraId="04E46651">
            <w:pPr>
              <w:pStyle w:val="21"/>
              <w:widowControl w:val="0"/>
              <w:ind w:firstLine="0" w:firstLineChars="0"/>
              <w:jc w:val="center"/>
              <w:rPr>
                <w:rFonts w:ascii="Times New Roman"/>
                <w:sz w:val="21"/>
              </w:rPr>
            </w:pPr>
            <w:r>
              <w:rPr>
                <w:rFonts w:ascii="Times New Roman"/>
                <w:sz w:val="21"/>
              </w:rPr>
              <w:t>5300</w:t>
            </w:r>
          </w:p>
        </w:tc>
      </w:tr>
      <w:tr w14:paraId="0CB92C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4" w:type="dxa"/>
            <w:vAlign w:val="center"/>
          </w:tcPr>
          <w:p w14:paraId="317BFC09">
            <w:pPr>
              <w:pStyle w:val="21"/>
              <w:widowControl w:val="0"/>
              <w:ind w:firstLine="0" w:firstLineChars="0"/>
              <w:jc w:val="center"/>
              <w:rPr>
                <w:rFonts w:ascii="Times New Roman"/>
                <w:sz w:val="21"/>
              </w:rPr>
            </w:pPr>
            <w:r>
              <w:rPr>
                <w:rFonts w:ascii="Times New Roman"/>
                <w:sz w:val="21"/>
              </w:rPr>
              <w:t>显色指数</w:t>
            </w:r>
          </w:p>
        </w:tc>
        <w:tc>
          <w:tcPr>
            <w:tcW w:w="2658" w:type="dxa"/>
            <w:vAlign w:val="center"/>
          </w:tcPr>
          <w:p w14:paraId="7C80A3E8">
            <w:pPr>
              <w:pStyle w:val="21"/>
              <w:widowControl w:val="0"/>
              <w:ind w:firstLine="0" w:firstLineChars="0"/>
              <w:jc w:val="center"/>
              <w:rPr>
                <w:rFonts w:ascii="Times New Roman"/>
                <w:sz w:val="21"/>
              </w:rPr>
            </w:pPr>
            <w:r>
              <w:rPr>
                <w:rFonts w:ascii="Times New Roman"/>
                <w:sz w:val="21"/>
              </w:rPr>
              <w:t>课桌面一般显色指数、LED灯具特殊显色指数（</w:t>
            </w:r>
            <w:r>
              <w:rPr>
                <w:rFonts w:ascii="Times New Roman"/>
                <w:i/>
                <w:iCs/>
                <w:sz w:val="21"/>
              </w:rPr>
              <w:t>R</w:t>
            </w:r>
            <w:r>
              <w:rPr>
                <w:rFonts w:ascii="Times New Roman"/>
                <w:position w:val="-3"/>
                <w:sz w:val="21"/>
                <w:vertAlign w:val="subscript"/>
              </w:rPr>
              <w:t>9</w:t>
            </w:r>
            <w:r>
              <w:rPr>
                <w:rFonts w:ascii="Times New Roman"/>
                <w:sz w:val="21"/>
              </w:rPr>
              <w:t>）</w:t>
            </w:r>
          </w:p>
        </w:tc>
        <w:tc>
          <w:tcPr>
            <w:tcW w:w="2426" w:type="dxa"/>
            <w:vAlign w:val="center"/>
          </w:tcPr>
          <w:p w14:paraId="6E1CF5C9">
            <w:pPr>
              <w:jc w:val="center"/>
              <w:rPr>
                <w:kern w:val="0"/>
                <w:szCs w:val="21"/>
              </w:rPr>
            </w:pPr>
            <w:r>
              <w:rPr>
                <w:rFonts w:ascii="Times New Roman" w:hAnsi="Times New Roman" w:eastAsia="宋体" w:cs="Times New Roman"/>
                <w:kern w:val="0"/>
                <w:szCs w:val="21"/>
              </w:rPr>
              <w:t>Ra≥80</w:t>
            </w:r>
          </w:p>
          <w:p w14:paraId="680E1F9F">
            <w:pPr>
              <w:pStyle w:val="21"/>
              <w:widowControl w:val="0"/>
              <w:ind w:firstLine="0" w:firstLineChars="0"/>
              <w:jc w:val="center"/>
              <w:rPr>
                <w:rFonts w:ascii="Times New Roman"/>
                <w:sz w:val="21"/>
              </w:rPr>
            </w:pPr>
            <w:r>
              <w:rPr>
                <w:rFonts w:ascii="Times New Roman"/>
                <w:sz w:val="21"/>
              </w:rPr>
              <w:t>R9≥50</w:t>
            </w:r>
          </w:p>
          <w:p w14:paraId="00DFFD7E">
            <w:pPr>
              <w:pStyle w:val="21"/>
              <w:widowControl w:val="0"/>
              <w:ind w:firstLine="0" w:firstLineChars="0"/>
              <w:jc w:val="center"/>
              <w:rPr>
                <w:rFonts w:ascii="Times New Roman"/>
                <w:sz w:val="21"/>
              </w:rPr>
            </w:pPr>
            <w:r>
              <w:rPr>
                <w:rFonts w:ascii="Times New Roman"/>
                <w:sz w:val="21"/>
              </w:rPr>
              <w:t>增加全光谱的要求</w:t>
            </w:r>
          </w:p>
        </w:tc>
        <w:tc>
          <w:tcPr>
            <w:tcW w:w="2360" w:type="dxa"/>
            <w:vAlign w:val="center"/>
          </w:tcPr>
          <w:p w14:paraId="2C0C7F60">
            <w:pPr>
              <w:jc w:val="center"/>
              <w:rPr>
                <w:kern w:val="0"/>
                <w:szCs w:val="21"/>
              </w:rPr>
            </w:pPr>
            <w:r>
              <w:rPr>
                <w:rFonts w:ascii="Times New Roman" w:hAnsi="Times New Roman" w:eastAsia="宋体" w:cs="Times New Roman"/>
                <w:kern w:val="0"/>
                <w:szCs w:val="21"/>
              </w:rPr>
              <w:t>Ra≥80</w:t>
            </w:r>
          </w:p>
          <w:p w14:paraId="767F4CFB">
            <w:pPr>
              <w:pStyle w:val="21"/>
              <w:widowControl w:val="0"/>
              <w:ind w:firstLine="0" w:firstLineChars="0"/>
              <w:jc w:val="center"/>
              <w:rPr>
                <w:rFonts w:ascii="Times New Roman"/>
                <w:sz w:val="21"/>
              </w:rPr>
            </w:pPr>
            <w:r>
              <w:rPr>
                <w:rFonts w:ascii="Times New Roman"/>
                <w:sz w:val="21"/>
              </w:rPr>
              <w:t>R9没有要求，没有全光谱的要求</w:t>
            </w:r>
          </w:p>
        </w:tc>
      </w:tr>
      <w:tr w14:paraId="0478F4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4" w:type="dxa"/>
            <w:vAlign w:val="center"/>
          </w:tcPr>
          <w:p w14:paraId="36FFA214">
            <w:pPr>
              <w:pStyle w:val="21"/>
              <w:widowControl w:val="0"/>
              <w:ind w:firstLine="0" w:firstLineChars="0"/>
              <w:jc w:val="center"/>
              <w:rPr>
                <w:rFonts w:ascii="Times New Roman"/>
                <w:sz w:val="21"/>
              </w:rPr>
            </w:pPr>
            <w:r>
              <w:rPr>
                <w:rFonts w:ascii="Times New Roman"/>
                <w:sz w:val="21"/>
              </w:rPr>
              <w:t>教室灯具高度(m)</w:t>
            </w:r>
          </w:p>
        </w:tc>
        <w:tc>
          <w:tcPr>
            <w:tcW w:w="2658" w:type="dxa"/>
            <w:vAlign w:val="center"/>
          </w:tcPr>
          <w:p w14:paraId="07F9ADA3">
            <w:pPr>
              <w:pStyle w:val="21"/>
              <w:widowControl w:val="0"/>
              <w:ind w:firstLine="0" w:firstLineChars="0"/>
              <w:jc w:val="center"/>
              <w:rPr>
                <w:rFonts w:ascii="Times New Roman"/>
                <w:sz w:val="21"/>
              </w:rPr>
            </w:pPr>
            <w:r>
              <w:rPr>
                <w:rFonts w:ascii="Times New Roman"/>
                <w:sz w:val="21"/>
              </w:rPr>
              <w:t>教室灯具下沿距课桌面垂直距离</w:t>
            </w:r>
          </w:p>
        </w:tc>
        <w:tc>
          <w:tcPr>
            <w:tcW w:w="2426" w:type="dxa"/>
            <w:vAlign w:val="center"/>
          </w:tcPr>
          <w:p w14:paraId="10870DED">
            <w:pPr>
              <w:pStyle w:val="21"/>
              <w:widowControl w:val="0"/>
              <w:ind w:firstLine="0" w:firstLineChars="0"/>
              <w:jc w:val="center"/>
              <w:rPr>
                <w:rFonts w:ascii="Times New Roman"/>
                <w:sz w:val="21"/>
              </w:rPr>
            </w:pPr>
            <w:r>
              <w:rPr>
                <w:rFonts w:ascii="Times New Roman"/>
                <w:sz w:val="21"/>
              </w:rPr>
              <w:t>≥1.7</w:t>
            </w:r>
          </w:p>
        </w:tc>
        <w:tc>
          <w:tcPr>
            <w:tcW w:w="2360" w:type="dxa"/>
            <w:vAlign w:val="center"/>
          </w:tcPr>
          <w:p w14:paraId="282DEA0E">
            <w:pPr>
              <w:pStyle w:val="21"/>
              <w:widowControl w:val="0"/>
              <w:ind w:firstLine="0" w:firstLineChars="0"/>
              <w:jc w:val="center"/>
              <w:rPr>
                <w:rFonts w:ascii="Times New Roman"/>
                <w:sz w:val="21"/>
              </w:rPr>
            </w:pPr>
            <w:r>
              <w:rPr>
                <w:rFonts w:ascii="Times New Roman"/>
                <w:sz w:val="21"/>
              </w:rPr>
              <w:t>≥1.7</w:t>
            </w:r>
          </w:p>
        </w:tc>
      </w:tr>
      <w:tr w14:paraId="3818A9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4" w:type="dxa"/>
            <w:vAlign w:val="center"/>
          </w:tcPr>
          <w:p w14:paraId="2F41FACE">
            <w:pPr>
              <w:pStyle w:val="21"/>
              <w:widowControl w:val="0"/>
              <w:ind w:firstLine="0" w:firstLineChars="0"/>
              <w:jc w:val="center"/>
              <w:rPr>
                <w:rFonts w:ascii="Times New Roman"/>
                <w:sz w:val="21"/>
              </w:rPr>
            </w:pPr>
            <w:r>
              <w:rPr>
                <w:rFonts w:ascii="Times New Roman"/>
                <w:sz w:val="21"/>
              </w:rPr>
              <w:t>黑板灯具高度和距离</w:t>
            </w:r>
          </w:p>
        </w:tc>
        <w:tc>
          <w:tcPr>
            <w:tcW w:w="2658" w:type="dxa"/>
            <w:vAlign w:val="center"/>
          </w:tcPr>
          <w:p w14:paraId="113F84D5">
            <w:pPr>
              <w:pStyle w:val="21"/>
              <w:widowControl w:val="0"/>
              <w:ind w:firstLine="0" w:firstLineChars="0"/>
              <w:jc w:val="center"/>
              <w:rPr>
                <w:rFonts w:ascii="Times New Roman"/>
                <w:sz w:val="21"/>
              </w:rPr>
            </w:pPr>
            <w:r>
              <w:rPr>
                <w:rFonts w:ascii="Times New Roman"/>
                <w:sz w:val="21"/>
              </w:rPr>
              <w:t>黑板灯具下沿距黑板上缘垂直距离，黑板灯具距黑板的水平距离</w:t>
            </w:r>
          </w:p>
        </w:tc>
        <w:tc>
          <w:tcPr>
            <w:tcW w:w="2426" w:type="dxa"/>
            <w:vAlign w:val="center"/>
          </w:tcPr>
          <w:p w14:paraId="4CD7AA9B">
            <w:pPr>
              <w:pStyle w:val="21"/>
              <w:widowControl w:val="0"/>
              <w:ind w:firstLine="0" w:firstLineChars="0"/>
              <w:jc w:val="center"/>
              <w:rPr>
                <w:rFonts w:ascii="Times New Roman"/>
                <w:sz w:val="21"/>
              </w:rPr>
            </w:pPr>
            <w:r>
              <w:rPr>
                <w:rFonts w:ascii="Times New Roman"/>
                <w:sz w:val="21"/>
              </w:rPr>
              <w:t>增加了LED灯具的要求，能够满足主要照明产品</w:t>
            </w:r>
          </w:p>
        </w:tc>
        <w:tc>
          <w:tcPr>
            <w:tcW w:w="2360" w:type="dxa"/>
            <w:vAlign w:val="center"/>
          </w:tcPr>
          <w:p w14:paraId="08B8E43D">
            <w:pPr>
              <w:pStyle w:val="21"/>
              <w:widowControl w:val="0"/>
              <w:ind w:firstLine="0" w:firstLineChars="0"/>
              <w:jc w:val="center"/>
              <w:rPr>
                <w:rFonts w:ascii="Times New Roman"/>
                <w:sz w:val="21"/>
              </w:rPr>
            </w:pPr>
            <w:r>
              <w:rPr>
                <w:rFonts w:ascii="Times New Roman"/>
                <w:sz w:val="21"/>
              </w:rPr>
              <w:t>只有荧光灯的要求</w:t>
            </w:r>
          </w:p>
        </w:tc>
      </w:tr>
      <w:tr w14:paraId="2F3385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4" w:type="dxa"/>
            <w:vAlign w:val="center"/>
          </w:tcPr>
          <w:p w14:paraId="5F63B042">
            <w:pPr>
              <w:pStyle w:val="21"/>
              <w:widowControl w:val="0"/>
              <w:ind w:firstLine="0" w:firstLineChars="0"/>
              <w:jc w:val="center"/>
              <w:rPr>
                <w:rFonts w:ascii="Times New Roman"/>
                <w:sz w:val="21"/>
              </w:rPr>
            </w:pPr>
            <w:r>
              <w:rPr>
                <w:rFonts w:hint="eastAsia" w:ascii="Times New Roman"/>
                <w:sz w:val="21"/>
              </w:rPr>
              <w:t>眼部垂直照度</w:t>
            </w:r>
          </w:p>
        </w:tc>
        <w:tc>
          <w:tcPr>
            <w:tcW w:w="2658" w:type="dxa"/>
            <w:vAlign w:val="center"/>
          </w:tcPr>
          <w:p w14:paraId="6F6E601F">
            <w:pPr>
              <w:pStyle w:val="29"/>
              <w:numPr>
                <w:ilvl w:val="0"/>
                <w:numId w:val="0"/>
              </w:numPr>
              <w:ind w:firstLine="420" w:firstLineChars="200"/>
              <w:rPr>
                <w:rFonts w:ascii="Times New Roman"/>
                <w:lang w:eastAsia="zh-Hans"/>
              </w:rPr>
            </w:pPr>
            <w:r>
              <w:rPr>
                <w:rFonts w:ascii="Times New Roman"/>
                <w:lang w:eastAsia="zh-Hans"/>
              </w:rPr>
              <w:t>面向教室黑板方向坐视高度（1.2 m）处的垂直照度，反映了直接和间接光到达人眼的照度。</w:t>
            </w:r>
          </w:p>
          <w:p w14:paraId="0E6DACC5">
            <w:pPr>
              <w:pStyle w:val="21"/>
              <w:widowControl w:val="0"/>
              <w:ind w:firstLine="0" w:firstLineChars="0"/>
              <w:jc w:val="center"/>
              <w:rPr>
                <w:rFonts w:ascii="Times New Roman"/>
                <w:sz w:val="21"/>
              </w:rPr>
            </w:pPr>
          </w:p>
        </w:tc>
        <w:tc>
          <w:tcPr>
            <w:tcW w:w="2426" w:type="dxa"/>
            <w:vAlign w:val="center"/>
          </w:tcPr>
          <w:p w14:paraId="2089BE69">
            <w:pPr>
              <w:pStyle w:val="21"/>
              <w:widowControl w:val="0"/>
              <w:ind w:firstLine="0" w:firstLineChars="0"/>
              <w:jc w:val="center"/>
              <w:rPr>
                <w:rFonts w:hint="eastAsia" w:ascii="Times New Roman"/>
                <w:sz w:val="21"/>
              </w:rPr>
            </w:pPr>
            <w:r>
              <w:rPr>
                <w:rFonts w:ascii="Times New Roman"/>
                <w:sz w:val="21"/>
              </w:rPr>
              <w:t>≥</w:t>
            </w:r>
            <w:r>
              <w:rPr>
                <w:rFonts w:hint="eastAsia" w:ascii="Times New Roman"/>
                <w:sz w:val="21"/>
              </w:rPr>
              <w:t>220lx</w:t>
            </w:r>
          </w:p>
        </w:tc>
        <w:tc>
          <w:tcPr>
            <w:tcW w:w="2360" w:type="dxa"/>
            <w:vAlign w:val="center"/>
          </w:tcPr>
          <w:p w14:paraId="5F5A8880">
            <w:pPr>
              <w:pStyle w:val="21"/>
              <w:widowControl w:val="0"/>
              <w:ind w:firstLine="0" w:firstLineChars="0"/>
              <w:jc w:val="center"/>
              <w:rPr>
                <w:rFonts w:ascii="Times New Roman"/>
                <w:sz w:val="21"/>
              </w:rPr>
            </w:pPr>
            <w:r>
              <w:rPr>
                <w:rFonts w:ascii="Times New Roman"/>
                <w:sz w:val="21"/>
              </w:rPr>
              <w:t>国家标准缺少此指标</w:t>
            </w:r>
          </w:p>
        </w:tc>
      </w:tr>
      <w:tr w14:paraId="1BD938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4" w:type="dxa"/>
            <w:vAlign w:val="center"/>
          </w:tcPr>
          <w:p w14:paraId="4DF4C74D">
            <w:pPr>
              <w:pStyle w:val="21"/>
              <w:widowControl w:val="0"/>
              <w:ind w:firstLine="0" w:firstLineChars="0"/>
              <w:jc w:val="center"/>
              <w:rPr>
                <w:rFonts w:ascii="Times New Roman"/>
                <w:sz w:val="21"/>
              </w:rPr>
            </w:pPr>
            <w:r>
              <w:rPr>
                <w:rFonts w:hint="eastAsia" w:ascii="Times New Roman"/>
                <w:sz w:val="21"/>
              </w:rPr>
              <w:t>视黑素响应日光（D65）等效照度</w:t>
            </w:r>
          </w:p>
        </w:tc>
        <w:tc>
          <w:tcPr>
            <w:tcW w:w="2658" w:type="dxa"/>
            <w:vAlign w:val="center"/>
          </w:tcPr>
          <w:p w14:paraId="428EAFC9">
            <w:pPr>
              <w:pStyle w:val="21"/>
              <w:widowControl w:val="0"/>
              <w:ind w:firstLine="0" w:firstLineChars="0"/>
              <w:jc w:val="center"/>
              <w:rPr>
                <w:rFonts w:ascii="Times New Roman"/>
                <w:sz w:val="21"/>
              </w:rPr>
            </w:pPr>
            <w:r>
              <w:rPr>
                <w:rFonts w:ascii="Times New Roman"/>
                <w:sz w:val="21"/>
                <w:szCs w:val="20"/>
                <w:lang w:eastAsia="zh-Hans"/>
              </w:rPr>
              <w:t>由CIE标准光源D65产生相同的视黑素等效照度时，该D65标准光源的照度数值称为视黑素等效日光（D65）照度</w:t>
            </w:r>
          </w:p>
        </w:tc>
        <w:tc>
          <w:tcPr>
            <w:tcW w:w="2426" w:type="dxa"/>
            <w:vAlign w:val="center"/>
          </w:tcPr>
          <w:p w14:paraId="76FA918D">
            <w:pPr>
              <w:pStyle w:val="21"/>
              <w:widowControl w:val="0"/>
              <w:ind w:firstLine="0" w:firstLineChars="0"/>
              <w:jc w:val="center"/>
              <w:rPr>
                <w:rFonts w:ascii="Times New Roman"/>
                <w:sz w:val="21"/>
              </w:rPr>
            </w:pPr>
            <w:r>
              <w:rPr>
                <w:rFonts w:ascii="Times New Roman"/>
                <w:sz w:val="21"/>
              </w:rPr>
              <w:t>白天使用时，视黑素响应日光（D65）等效照度m-EDI宜不低于170 lx。夜间使用时，相关色温宜不高于4000 K。</w:t>
            </w:r>
          </w:p>
        </w:tc>
        <w:tc>
          <w:tcPr>
            <w:tcW w:w="2360" w:type="dxa"/>
            <w:vAlign w:val="center"/>
          </w:tcPr>
          <w:p w14:paraId="05AEBEC5">
            <w:pPr>
              <w:pStyle w:val="21"/>
              <w:widowControl w:val="0"/>
              <w:ind w:firstLine="0" w:firstLineChars="0"/>
              <w:jc w:val="center"/>
              <w:rPr>
                <w:rFonts w:ascii="Times New Roman"/>
                <w:sz w:val="21"/>
              </w:rPr>
            </w:pPr>
            <w:r>
              <w:rPr>
                <w:rFonts w:ascii="Times New Roman"/>
                <w:sz w:val="21"/>
              </w:rPr>
              <w:t>国家标准缺少此指标</w:t>
            </w:r>
          </w:p>
        </w:tc>
      </w:tr>
      <w:tr w14:paraId="20D9EE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4" w:type="dxa"/>
            <w:vAlign w:val="center"/>
          </w:tcPr>
          <w:p w14:paraId="251E8228">
            <w:pPr>
              <w:pStyle w:val="21"/>
              <w:widowControl w:val="0"/>
              <w:ind w:firstLine="0" w:firstLineChars="0"/>
              <w:jc w:val="center"/>
              <w:rPr>
                <w:rFonts w:ascii="Times New Roman"/>
                <w:sz w:val="21"/>
              </w:rPr>
            </w:pPr>
            <w:r>
              <w:rPr>
                <w:rFonts w:ascii="Times New Roman"/>
                <w:sz w:val="21"/>
              </w:rPr>
              <w:t>波动深度</w:t>
            </w:r>
          </w:p>
        </w:tc>
        <w:tc>
          <w:tcPr>
            <w:tcW w:w="2658" w:type="dxa"/>
            <w:vAlign w:val="center"/>
          </w:tcPr>
          <w:p w14:paraId="1E740077">
            <w:pPr>
              <w:pStyle w:val="21"/>
              <w:widowControl w:val="0"/>
              <w:ind w:firstLine="0" w:firstLineChars="0"/>
              <w:jc w:val="center"/>
              <w:rPr>
                <w:rFonts w:ascii="Times New Roman"/>
                <w:sz w:val="21"/>
              </w:rPr>
            </w:pPr>
            <w:r>
              <w:rPr>
                <w:rFonts w:ascii="Times New Roman"/>
                <w:sz w:val="21"/>
              </w:rPr>
              <w:t>教室灯具和黑板灯具的波形频率，波动深度</w:t>
            </w:r>
          </w:p>
        </w:tc>
        <w:tc>
          <w:tcPr>
            <w:tcW w:w="2426" w:type="dxa"/>
            <w:vAlign w:val="center"/>
          </w:tcPr>
          <w:p w14:paraId="63429717">
            <w:pPr>
              <w:pStyle w:val="21"/>
              <w:widowControl w:val="0"/>
              <w:ind w:firstLine="0" w:firstLineChars="0"/>
              <w:jc w:val="center"/>
              <w:rPr>
                <w:rFonts w:ascii="Times New Roman"/>
                <w:sz w:val="21"/>
              </w:rPr>
            </w:pPr>
            <w:r>
              <w:rPr>
                <w:rFonts w:ascii="Times New Roman"/>
                <w:sz w:val="21"/>
              </w:rPr>
              <w:t>增加了波动深度在教室现场测试的要求</w:t>
            </w:r>
          </w:p>
        </w:tc>
        <w:tc>
          <w:tcPr>
            <w:tcW w:w="2360" w:type="dxa"/>
            <w:vAlign w:val="center"/>
          </w:tcPr>
          <w:p w14:paraId="0CAB4099">
            <w:pPr>
              <w:pStyle w:val="21"/>
              <w:widowControl w:val="0"/>
              <w:ind w:firstLine="0" w:firstLineChars="0"/>
              <w:jc w:val="center"/>
              <w:rPr>
                <w:rFonts w:ascii="Times New Roman"/>
                <w:sz w:val="21"/>
              </w:rPr>
            </w:pPr>
            <w:r>
              <w:rPr>
                <w:rFonts w:ascii="Times New Roman"/>
                <w:sz w:val="21"/>
              </w:rPr>
              <w:t>国家标准缺少此指标</w:t>
            </w:r>
          </w:p>
        </w:tc>
      </w:tr>
      <w:tr w14:paraId="29D6F0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554" w:type="dxa"/>
            <w:vAlign w:val="center"/>
          </w:tcPr>
          <w:p w14:paraId="63B27611">
            <w:pPr>
              <w:pStyle w:val="21"/>
              <w:widowControl w:val="0"/>
              <w:ind w:firstLine="0" w:firstLineChars="0"/>
              <w:jc w:val="center"/>
              <w:rPr>
                <w:rFonts w:ascii="Times New Roman"/>
                <w:sz w:val="21"/>
              </w:rPr>
            </w:pPr>
            <w:r>
              <w:rPr>
                <w:rFonts w:ascii="Times New Roman"/>
                <w:sz w:val="21"/>
              </w:rPr>
              <w:t>教室顶部照度(lx)</w:t>
            </w:r>
          </w:p>
        </w:tc>
        <w:tc>
          <w:tcPr>
            <w:tcW w:w="2658" w:type="dxa"/>
            <w:vAlign w:val="center"/>
          </w:tcPr>
          <w:p w14:paraId="50684450">
            <w:pPr>
              <w:pStyle w:val="21"/>
              <w:widowControl w:val="0"/>
              <w:ind w:firstLine="0" w:firstLineChars="0"/>
              <w:jc w:val="center"/>
              <w:rPr>
                <w:rFonts w:ascii="Times New Roman"/>
                <w:sz w:val="21"/>
              </w:rPr>
            </w:pPr>
            <w:r>
              <w:rPr>
                <w:rFonts w:ascii="Times New Roman"/>
                <w:sz w:val="21"/>
              </w:rPr>
              <w:t>平均照度</w:t>
            </w:r>
          </w:p>
        </w:tc>
        <w:tc>
          <w:tcPr>
            <w:tcW w:w="2426" w:type="dxa"/>
            <w:vAlign w:val="center"/>
          </w:tcPr>
          <w:p w14:paraId="4B119E9B">
            <w:pPr>
              <w:pStyle w:val="21"/>
              <w:widowControl w:val="0"/>
              <w:ind w:firstLine="0" w:firstLineChars="0"/>
              <w:jc w:val="center"/>
              <w:rPr>
                <w:rFonts w:ascii="Times New Roman"/>
                <w:sz w:val="21"/>
              </w:rPr>
            </w:pPr>
            <w:r>
              <w:rPr>
                <w:rFonts w:ascii="Times New Roman"/>
                <w:sz w:val="21"/>
              </w:rPr>
              <w:t>增加了教室顶部照度要求</w:t>
            </w:r>
          </w:p>
        </w:tc>
        <w:tc>
          <w:tcPr>
            <w:tcW w:w="2360" w:type="dxa"/>
            <w:vAlign w:val="center"/>
          </w:tcPr>
          <w:p w14:paraId="7DFE8F93">
            <w:pPr>
              <w:pStyle w:val="21"/>
              <w:widowControl w:val="0"/>
              <w:ind w:firstLine="0" w:firstLineChars="0"/>
              <w:jc w:val="center"/>
              <w:rPr>
                <w:rFonts w:ascii="Times New Roman"/>
                <w:sz w:val="21"/>
              </w:rPr>
            </w:pPr>
            <w:r>
              <w:rPr>
                <w:rFonts w:ascii="Times New Roman"/>
                <w:sz w:val="21"/>
              </w:rPr>
              <w:t>国家标准缺少此指标</w:t>
            </w:r>
          </w:p>
        </w:tc>
      </w:tr>
    </w:tbl>
    <w:p w14:paraId="35D4CF71">
      <w:pPr>
        <w:pStyle w:val="2"/>
        <w:spacing w:before="156" w:after="156"/>
      </w:pPr>
    </w:p>
    <w:p w14:paraId="51ED9E7C">
      <w:pPr>
        <w:spacing w:after="156" w:afterLines="50"/>
        <w:ind w:firstLine="560" w:firstLineChars="200"/>
        <w:rPr>
          <w:rFonts w:hint="eastAsia" w:ascii="仿宋" w:hAnsi="仿宋" w:eastAsia="仿宋" w:cs="Times New Roman"/>
          <w:sz w:val="28"/>
          <w:szCs w:val="28"/>
        </w:rPr>
      </w:pPr>
    </w:p>
    <w:p w14:paraId="177B0063">
      <w:pPr>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九、涉及专利的有关说明</w:t>
      </w:r>
    </w:p>
    <w:p w14:paraId="76AB603F">
      <w:pPr>
        <w:spacing w:after="156" w:afterLines="50"/>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无此情况。</w:t>
      </w:r>
    </w:p>
    <w:p w14:paraId="2AE0CCD2">
      <w:pPr>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十、标准信息</w:t>
      </w:r>
      <w:r>
        <w:rPr>
          <w:rFonts w:ascii="黑体" w:hAnsi="黑体" w:eastAsia="黑体" w:cs="Times New Roman"/>
          <w:sz w:val="32"/>
          <w:szCs w:val="32"/>
        </w:rPr>
        <w:t>变更</w:t>
      </w:r>
      <w:r>
        <w:rPr>
          <w:rFonts w:hint="eastAsia" w:ascii="黑体" w:hAnsi="黑体" w:eastAsia="黑体" w:cs="Times New Roman"/>
          <w:sz w:val="32"/>
          <w:szCs w:val="32"/>
        </w:rPr>
        <w:t>说明</w:t>
      </w:r>
    </w:p>
    <w:p w14:paraId="0EEEF0C9">
      <w:pPr>
        <w:spacing w:after="156" w:afterLines="50"/>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无此情况。</w:t>
      </w:r>
    </w:p>
    <w:p w14:paraId="0A13B673">
      <w:pPr>
        <w:numPr>
          <w:ilvl w:val="0"/>
          <w:numId w:val="5"/>
        </w:numPr>
        <w:ind w:firstLine="640" w:firstLineChars="200"/>
        <w:rPr>
          <w:rFonts w:hint="eastAsia" w:ascii="黑体" w:hAnsi="黑体" w:eastAsia="黑体" w:cs="Times New Roman"/>
          <w:sz w:val="32"/>
          <w:szCs w:val="32"/>
        </w:rPr>
      </w:pPr>
      <w:r>
        <w:rPr>
          <w:rFonts w:hint="eastAsia" w:ascii="黑体" w:hAnsi="黑体" w:eastAsia="黑体" w:cs="Times New Roman"/>
          <w:sz w:val="32"/>
          <w:szCs w:val="32"/>
        </w:rPr>
        <w:t>其他说明事项</w:t>
      </w:r>
    </w:p>
    <w:p w14:paraId="08C53BEF">
      <w:pPr>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无此情况。</w:t>
      </w:r>
    </w:p>
    <w:p w14:paraId="7937173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8E5A4"/>
    <w:multiLevelType w:val="singleLevel"/>
    <w:tmpl w:val="CB08E5A4"/>
    <w:lvl w:ilvl="0" w:tentative="0">
      <w:start w:val="11"/>
      <w:numFmt w:val="chineseCounting"/>
      <w:suff w:val="nothing"/>
      <w:lvlText w:val="%1、"/>
      <w:lvlJc w:val="left"/>
      <w:rPr>
        <w:rFonts w:hint="eastAsia"/>
      </w:rPr>
    </w:lvl>
  </w:abstractNum>
  <w:abstractNum w:abstractNumId="1">
    <w:nsid w:val="05BC2ED6"/>
    <w:multiLevelType w:val="multilevel"/>
    <w:tmpl w:val="05BC2ED6"/>
    <w:lvl w:ilvl="0" w:tentative="0">
      <w:start w:val="7"/>
      <w:numFmt w:val="japaneseCounting"/>
      <w:lvlText w:val="%1、"/>
      <w:lvlJc w:val="left"/>
      <w:pPr>
        <w:ind w:left="1360" w:hanging="72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abstractNum w:abstractNumId="2">
    <w:nsid w:val="55AD70E7"/>
    <w:multiLevelType w:val="singleLevel"/>
    <w:tmpl w:val="55AD70E7"/>
    <w:lvl w:ilvl="0" w:tentative="0">
      <w:start w:val="1"/>
      <w:numFmt w:val="decimal"/>
      <w:suff w:val="nothing"/>
      <w:lvlText w:val="%1、"/>
      <w:lvlJc w:val="left"/>
    </w:lvl>
  </w:abstractNum>
  <w:abstractNum w:abstractNumId="3">
    <w:nsid w:val="6CEA2025"/>
    <w:multiLevelType w:val="multilevel"/>
    <w:tmpl w:val="6CEA2025"/>
    <w:lvl w:ilvl="0" w:tentative="0">
      <w:start w:val="1"/>
      <w:numFmt w:val="none"/>
      <w:pStyle w:val="28"/>
      <w:suff w:val="nothing"/>
      <w:lvlText w:val="%1"/>
      <w:lvlJc w:val="left"/>
      <w:pPr>
        <w:ind w:left="0" w:firstLine="0"/>
      </w:pPr>
      <w:rPr>
        <w:rFonts w:hint="eastAsia"/>
      </w:rPr>
    </w:lvl>
    <w:lvl w:ilvl="1" w:tentative="0">
      <w:start w:val="1"/>
      <w:numFmt w:val="decimal"/>
      <w:pStyle w:val="26"/>
      <w:suff w:val="nothing"/>
      <w:lvlText w:val="%1%2　"/>
      <w:lvlJc w:val="left"/>
      <w:pPr>
        <w:ind w:left="0" w:firstLine="0"/>
      </w:pPr>
      <w:rPr>
        <w:rFonts w:hint="eastAsia" w:ascii="黑体" w:eastAsia="黑体"/>
        <w:b w:val="0"/>
        <w:i w:val="0"/>
        <w:sz w:val="21"/>
      </w:rPr>
    </w:lvl>
    <w:lvl w:ilvl="2" w:tentative="0">
      <w:start w:val="1"/>
      <w:numFmt w:val="decimal"/>
      <w:pStyle w:val="2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22"/>
      <w:suff w:val="nothing"/>
      <w:lvlText w:val="%1%2.%3.%4　"/>
      <w:lvlJc w:val="left"/>
      <w:pPr>
        <w:ind w:left="0" w:firstLine="0"/>
      </w:pPr>
      <w:rPr>
        <w:rFonts w:hint="eastAsia" w:ascii="黑体" w:eastAsia="黑体"/>
        <w:b w:val="0"/>
        <w:i w:val="0"/>
        <w:sz w:val="21"/>
      </w:rPr>
    </w:lvl>
    <w:lvl w:ilvl="4" w:tentative="0">
      <w:start w:val="1"/>
      <w:numFmt w:val="decimal"/>
      <w:pStyle w:val="23"/>
      <w:suff w:val="nothing"/>
      <w:lvlText w:val="%1%2.%3.%4.%5　"/>
      <w:lvlJc w:val="left"/>
      <w:pPr>
        <w:ind w:left="0" w:firstLine="0"/>
      </w:pPr>
      <w:rPr>
        <w:rFonts w:hint="eastAsia" w:ascii="黑体" w:eastAsia="黑体"/>
        <w:b w:val="0"/>
        <w:i w:val="0"/>
        <w:sz w:val="21"/>
      </w:rPr>
    </w:lvl>
    <w:lvl w:ilvl="5" w:tentative="0">
      <w:start w:val="1"/>
      <w:numFmt w:val="decimal"/>
      <w:pStyle w:val="24"/>
      <w:suff w:val="nothing"/>
      <w:lvlText w:val="%1%2.%3.%4.%5.%6　"/>
      <w:lvlJc w:val="left"/>
      <w:pPr>
        <w:ind w:left="0" w:firstLine="0"/>
      </w:pPr>
      <w:rPr>
        <w:rFonts w:hint="eastAsia" w:ascii="黑体" w:eastAsia="黑体"/>
        <w:b w:val="0"/>
        <w:i w:val="0"/>
        <w:sz w:val="21"/>
      </w:rPr>
    </w:lvl>
    <w:lvl w:ilvl="6" w:tentative="0">
      <w:start w:val="1"/>
      <w:numFmt w:val="decimal"/>
      <w:pStyle w:val="2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76380130"/>
    <w:multiLevelType w:val="singleLevel"/>
    <w:tmpl w:val="76380130"/>
    <w:lvl w:ilvl="0" w:tentative="0">
      <w:start w:val="2"/>
      <w:numFmt w:val="chineseCounting"/>
      <w:suff w:val="nothing"/>
      <w:lvlText w:val="（%1）"/>
      <w:lvlJc w:val="left"/>
      <w:rPr>
        <w:rFonts w:hint="eastAsia"/>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mZjFmZDRiYjBkMjlkMzcyNzAyNzYxN2I5MTkwYTUifQ=="/>
  </w:docVars>
  <w:rsids>
    <w:rsidRoot w:val="00E51A0C"/>
    <w:rsid w:val="00052486"/>
    <w:rsid w:val="00074686"/>
    <w:rsid w:val="000A566E"/>
    <w:rsid w:val="000C05E9"/>
    <w:rsid w:val="000C5D28"/>
    <w:rsid w:val="000D4642"/>
    <w:rsid w:val="000E15EA"/>
    <w:rsid w:val="00105D22"/>
    <w:rsid w:val="001156FC"/>
    <w:rsid w:val="0017309A"/>
    <w:rsid w:val="001B525A"/>
    <w:rsid w:val="001B6ADF"/>
    <w:rsid w:val="001C1D7C"/>
    <w:rsid w:val="001D76E0"/>
    <w:rsid w:val="001E3D61"/>
    <w:rsid w:val="002460D7"/>
    <w:rsid w:val="002471AB"/>
    <w:rsid w:val="002F3E9A"/>
    <w:rsid w:val="003077D5"/>
    <w:rsid w:val="0032118C"/>
    <w:rsid w:val="00340574"/>
    <w:rsid w:val="0037303D"/>
    <w:rsid w:val="00373819"/>
    <w:rsid w:val="003D027F"/>
    <w:rsid w:val="003E06B8"/>
    <w:rsid w:val="003E4B8D"/>
    <w:rsid w:val="0041325E"/>
    <w:rsid w:val="004478E7"/>
    <w:rsid w:val="00460621"/>
    <w:rsid w:val="0046548D"/>
    <w:rsid w:val="004C49BD"/>
    <w:rsid w:val="004E6763"/>
    <w:rsid w:val="00525DAD"/>
    <w:rsid w:val="00530A88"/>
    <w:rsid w:val="00545EC0"/>
    <w:rsid w:val="00567797"/>
    <w:rsid w:val="00594039"/>
    <w:rsid w:val="005A3B1C"/>
    <w:rsid w:val="005A6F26"/>
    <w:rsid w:val="005B763E"/>
    <w:rsid w:val="00615776"/>
    <w:rsid w:val="006168D1"/>
    <w:rsid w:val="006D2F6F"/>
    <w:rsid w:val="006D598A"/>
    <w:rsid w:val="006E118F"/>
    <w:rsid w:val="007204E3"/>
    <w:rsid w:val="007369CF"/>
    <w:rsid w:val="00743F8E"/>
    <w:rsid w:val="00752445"/>
    <w:rsid w:val="0075529A"/>
    <w:rsid w:val="007610C1"/>
    <w:rsid w:val="00762622"/>
    <w:rsid w:val="00767663"/>
    <w:rsid w:val="007B43B5"/>
    <w:rsid w:val="007D7294"/>
    <w:rsid w:val="00816B2D"/>
    <w:rsid w:val="00845792"/>
    <w:rsid w:val="008513C4"/>
    <w:rsid w:val="00877FC7"/>
    <w:rsid w:val="00882EDC"/>
    <w:rsid w:val="008A6883"/>
    <w:rsid w:val="008C4B23"/>
    <w:rsid w:val="009166FA"/>
    <w:rsid w:val="00916BA0"/>
    <w:rsid w:val="009374D9"/>
    <w:rsid w:val="00952746"/>
    <w:rsid w:val="009A1C58"/>
    <w:rsid w:val="009A544A"/>
    <w:rsid w:val="009B7BE3"/>
    <w:rsid w:val="009E43C5"/>
    <w:rsid w:val="00A071F5"/>
    <w:rsid w:val="00A362BA"/>
    <w:rsid w:val="00A543BC"/>
    <w:rsid w:val="00A55ED2"/>
    <w:rsid w:val="00A648B1"/>
    <w:rsid w:val="00A8065C"/>
    <w:rsid w:val="00A911B5"/>
    <w:rsid w:val="00AF3798"/>
    <w:rsid w:val="00B03D71"/>
    <w:rsid w:val="00B16D5D"/>
    <w:rsid w:val="00B21535"/>
    <w:rsid w:val="00B410A8"/>
    <w:rsid w:val="00B80666"/>
    <w:rsid w:val="00BB2831"/>
    <w:rsid w:val="00BC5EA8"/>
    <w:rsid w:val="00BD0EAC"/>
    <w:rsid w:val="00BD3109"/>
    <w:rsid w:val="00BF3AF9"/>
    <w:rsid w:val="00C02B60"/>
    <w:rsid w:val="00C14660"/>
    <w:rsid w:val="00C94CD0"/>
    <w:rsid w:val="00CA03DB"/>
    <w:rsid w:val="00CC4459"/>
    <w:rsid w:val="00D11584"/>
    <w:rsid w:val="00D1166E"/>
    <w:rsid w:val="00D3687A"/>
    <w:rsid w:val="00D77FF0"/>
    <w:rsid w:val="00DB45EA"/>
    <w:rsid w:val="00DD5376"/>
    <w:rsid w:val="00DE4CC1"/>
    <w:rsid w:val="00E51A0C"/>
    <w:rsid w:val="00E72F87"/>
    <w:rsid w:val="00E82DC6"/>
    <w:rsid w:val="00EB42CE"/>
    <w:rsid w:val="00EC6705"/>
    <w:rsid w:val="00EE4BCB"/>
    <w:rsid w:val="00F0559E"/>
    <w:rsid w:val="00F51312"/>
    <w:rsid w:val="00F75EFF"/>
    <w:rsid w:val="00FA46D2"/>
    <w:rsid w:val="00FC3B88"/>
    <w:rsid w:val="04520E02"/>
    <w:rsid w:val="06862313"/>
    <w:rsid w:val="15915971"/>
    <w:rsid w:val="1F1C7A27"/>
    <w:rsid w:val="234F23BC"/>
    <w:rsid w:val="27476007"/>
    <w:rsid w:val="28C011CE"/>
    <w:rsid w:val="311D68D4"/>
    <w:rsid w:val="39411006"/>
    <w:rsid w:val="424D2686"/>
    <w:rsid w:val="487B22CE"/>
    <w:rsid w:val="517C7CB0"/>
    <w:rsid w:val="5B916826"/>
    <w:rsid w:val="5CA3171A"/>
    <w:rsid w:val="5D5D42BA"/>
    <w:rsid w:val="61443DF6"/>
    <w:rsid w:val="65A705D2"/>
    <w:rsid w:val="6E313751"/>
    <w:rsid w:val="6FB60589"/>
    <w:rsid w:val="6FEB137A"/>
    <w:rsid w:val="70474A48"/>
    <w:rsid w:val="733F59FB"/>
    <w:rsid w:val="73FC5259"/>
    <w:rsid w:val="746D38CC"/>
    <w:rsid w:val="77984B85"/>
    <w:rsid w:val="789F40E7"/>
    <w:rsid w:val="7F492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0"/>
    <w:pPr>
      <w:spacing w:beforeLines="50" w:afterLines="50" w:line="360" w:lineRule="auto"/>
      <w:ind w:firstLine="200"/>
      <w:jc w:val="left"/>
      <w:outlineLvl w:val="0"/>
    </w:pPr>
    <w:rPr>
      <w:rFonts w:ascii="Times New Roman" w:hAnsi="Times New Roman" w:eastAsia="黑体" w:cs="Times New Roman"/>
      <w:szCs w:val="24"/>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Indent"/>
    <w:basedOn w:val="1"/>
    <w:autoRedefine/>
    <w:qFormat/>
    <w:uiPriority w:val="0"/>
    <w:pPr>
      <w:spacing w:after="120"/>
      <w:ind w:left="420" w:leftChars="200"/>
    </w:pPr>
    <w:rPr>
      <w:rFonts w:ascii="Times New Roman" w:hAnsi="Times New Roman" w:cs="Times New Roman"/>
    </w:rPr>
  </w:style>
  <w:style w:type="paragraph" w:styleId="4">
    <w:name w:val="Balloon Text"/>
    <w:basedOn w:val="1"/>
    <w:link w:val="16"/>
    <w:autoRedefine/>
    <w:qFormat/>
    <w:uiPriority w:val="0"/>
    <w:rPr>
      <w:rFonts w:asciiTheme="majorHAnsi" w:hAnsiTheme="majorHAnsi" w:eastAsiaTheme="majorEastAsia" w:cstheme="majorBidi"/>
      <w:sz w:val="18"/>
      <w:szCs w:val="18"/>
    </w:rPr>
  </w:style>
  <w:style w:type="paragraph" w:styleId="5">
    <w:name w:val="footer"/>
    <w:basedOn w:val="1"/>
    <w:link w:val="15"/>
    <w:autoRedefine/>
    <w:qFormat/>
    <w:uiPriority w:val="0"/>
    <w:pPr>
      <w:tabs>
        <w:tab w:val="center" w:pos="4153"/>
        <w:tab w:val="right" w:pos="8306"/>
      </w:tabs>
      <w:snapToGrid w:val="0"/>
    </w:pPr>
    <w:rPr>
      <w:sz w:val="20"/>
      <w:szCs w:val="20"/>
    </w:rPr>
  </w:style>
  <w:style w:type="paragraph" w:styleId="6">
    <w:name w:val="header"/>
    <w:basedOn w:val="1"/>
    <w:link w:val="14"/>
    <w:qFormat/>
    <w:uiPriority w:val="0"/>
    <w:pPr>
      <w:tabs>
        <w:tab w:val="center" w:pos="4153"/>
        <w:tab w:val="right" w:pos="8306"/>
      </w:tabs>
      <w:snapToGrid w:val="0"/>
    </w:pPr>
    <w:rPr>
      <w:sz w:val="20"/>
      <w:szCs w:val="20"/>
    </w:rPr>
  </w:style>
  <w:style w:type="paragraph" w:styleId="7">
    <w:name w:val="Normal (Web)"/>
    <w:basedOn w:val="1"/>
    <w:autoRedefine/>
    <w:qFormat/>
    <w:uiPriority w:val="0"/>
    <w:pPr>
      <w:spacing w:beforeAutospacing="1" w:afterAutospacing="1"/>
      <w:jc w:val="left"/>
    </w:pPr>
    <w:rPr>
      <w:rFonts w:cs="Times New Roman"/>
      <w:kern w:val="0"/>
      <w:sz w:val="24"/>
    </w:rPr>
  </w:style>
  <w:style w:type="paragraph" w:styleId="8">
    <w:name w:val="Body Text First Indent 2"/>
    <w:basedOn w:val="3"/>
    <w:autoRedefine/>
    <w:qFormat/>
    <w:uiPriority w:val="0"/>
    <w:pPr>
      <w:ind w:firstLine="420" w:firstLineChars="200"/>
    </w:pPr>
    <w:rPr>
      <w:rFonts w:ascii="Calibri" w:hAnsi="Calibri" w:eastAsia="宋体"/>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autoRedefine/>
    <w:qFormat/>
    <w:uiPriority w:val="0"/>
    <w:rPr>
      <w:b/>
    </w:rPr>
  </w:style>
  <w:style w:type="character" w:styleId="13">
    <w:name w:val="Hyperlink"/>
    <w:autoRedefine/>
    <w:qFormat/>
    <w:uiPriority w:val="99"/>
    <w:rPr>
      <w:rFonts w:ascii="宋体" w:hAnsi="Times New Roman" w:eastAsia="宋体"/>
      <w:color w:val="auto"/>
      <w:spacing w:val="0"/>
      <w:w w:val="100"/>
      <w:position w:val="0"/>
      <w:sz w:val="21"/>
      <w:u w:val="none"/>
      <w:vertAlign w:val="baseline"/>
    </w:rPr>
  </w:style>
  <w:style w:type="character" w:customStyle="1" w:styleId="14">
    <w:name w:val="页眉 字符"/>
    <w:basedOn w:val="11"/>
    <w:link w:val="6"/>
    <w:autoRedefine/>
    <w:qFormat/>
    <w:uiPriority w:val="0"/>
    <w:rPr>
      <w:kern w:val="2"/>
      <w:lang w:eastAsia="zh-CN"/>
    </w:rPr>
  </w:style>
  <w:style w:type="character" w:customStyle="1" w:styleId="15">
    <w:name w:val="页脚 字符"/>
    <w:basedOn w:val="11"/>
    <w:link w:val="5"/>
    <w:autoRedefine/>
    <w:qFormat/>
    <w:uiPriority w:val="0"/>
    <w:rPr>
      <w:kern w:val="2"/>
      <w:lang w:eastAsia="zh-CN"/>
    </w:rPr>
  </w:style>
  <w:style w:type="character" w:customStyle="1" w:styleId="16">
    <w:name w:val="批注框文本 字符"/>
    <w:basedOn w:val="11"/>
    <w:link w:val="4"/>
    <w:autoRedefine/>
    <w:qFormat/>
    <w:uiPriority w:val="0"/>
    <w:rPr>
      <w:rFonts w:asciiTheme="majorHAnsi" w:hAnsiTheme="majorHAnsi" w:eastAsiaTheme="majorEastAsia" w:cstheme="majorBidi"/>
      <w:kern w:val="2"/>
      <w:sz w:val="18"/>
      <w:szCs w:val="18"/>
      <w:lang w:eastAsia="zh-CN"/>
    </w:rPr>
  </w:style>
  <w:style w:type="paragraph" w:customStyle="1" w:styleId="17">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8">
    <w:name w:val="List Paragraph"/>
    <w:basedOn w:val="1"/>
    <w:autoRedefine/>
    <w:unhideWhenUsed/>
    <w:qFormat/>
    <w:uiPriority w:val="99"/>
    <w:pPr>
      <w:ind w:firstLine="420" w:firstLineChars="200"/>
    </w:pPr>
  </w:style>
  <w:style w:type="character" w:customStyle="1" w:styleId="19">
    <w:name w:val="标题 1 字符"/>
    <w:basedOn w:val="11"/>
    <w:link w:val="2"/>
    <w:uiPriority w:val="0"/>
    <w:rPr>
      <w:rFonts w:eastAsia="黑体"/>
      <w:kern w:val="2"/>
      <w:sz w:val="21"/>
      <w:szCs w:val="24"/>
    </w:rPr>
  </w:style>
  <w:style w:type="character" w:customStyle="1" w:styleId="20">
    <w:name w:val="段 Char Char"/>
    <w:link w:val="21"/>
    <w:qFormat/>
    <w:uiPriority w:val="0"/>
    <w:rPr>
      <w:rFonts w:ascii="宋体"/>
      <w:szCs w:val="21"/>
    </w:rPr>
  </w:style>
  <w:style w:type="paragraph" w:customStyle="1" w:styleId="21">
    <w:name w:val="段"/>
    <w:link w:val="20"/>
    <w:qFormat/>
    <w:uiPriority w:val="0"/>
    <w:pPr>
      <w:autoSpaceDE w:val="0"/>
      <w:autoSpaceDN w:val="0"/>
      <w:ind w:firstLine="200" w:firstLineChars="200"/>
      <w:jc w:val="both"/>
    </w:pPr>
    <w:rPr>
      <w:rFonts w:ascii="宋体" w:hAnsi="Times New Roman" w:eastAsia="宋体" w:cs="Times New Roman"/>
      <w:szCs w:val="21"/>
      <w:lang w:val="en-US" w:eastAsia="zh-CN" w:bidi="ar-SA"/>
    </w:rPr>
  </w:style>
  <w:style w:type="paragraph" w:customStyle="1" w:styleId="22">
    <w:name w:val="标准文件_二级条标题"/>
    <w:next w:val="17"/>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3">
    <w:name w:val="标准文件_三级条标题"/>
    <w:basedOn w:val="22"/>
    <w:next w:val="17"/>
    <w:qFormat/>
    <w:uiPriority w:val="0"/>
    <w:pPr>
      <w:widowControl/>
      <w:numPr>
        <w:ilvl w:val="4"/>
      </w:numPr>
      <w:outlineLvl w:val="3"/>
    </w:pPr>
  </w:style>
  <w:style w:type="paragraph" w:customStyle="1" w:styleId="24">
    <w:name w:val="标准文件_四级条标题"/>
    <w:next w:val="17"/>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25">
    <w:name w:val="标准文件_五级条标题"/>
    <w:next w:val="17"/>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26">
    <w:name w:val="标准文件_章标题"/>
    <w:next w:val="17"/>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7">
    <w:name w:val="标准文件_一级条标题"/>
    <w:basedOn w:val="26"/>
    <w:next w:val="17"/>
    <w:qFormat/>
    <w:uiPriority w:val="0"/>
    <w:pPr>
      <w:numPr>
        <w:ilvl w:val="2"/>
      </w:numPr>
      <w:spacing w:before="50" w:beforeLines="50" w:after="50" w:afterLines="50"/>
      <w:outlineLvl w:val="1"/>
    </w:pPr>
  </w:style>
  <w:style w:type="paragraph" w:customStyle="1" w:styleId="28">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9">
    <w:name w:val="标准文件_术语条一"/>
    <w:basedOn w:val="1"/>
    <w:next w:val="17"/>
    <w:qFormat/>
    <w:uiPriority w:val="0"/>
    <w:pPr>
      <w:widowControl/>
      <w:numPr>
        <w:ilvl w:val="2"/>
        <w:numId w:val="2"/>
      </w:numPr>
    </w:pPr>
    <w:rPr>
      <w:rFonts w:ascii="宋体" w:hAnsi="Times New Roman" w:eastAsia="宋体" w:cs="Times New Roman"/>
      <w:kern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ED925-E51D-4C48-B0C1-29D6F376AD2D}">
  <ds:schemaRefs/>
</ds:datastoreItem>
</file>

<file path=docProps/app.xml><?xml version="1.0" encoding="utf-8"?>
<Properties xmlns="http://schemas.openxmlformats.org/officeDocument/2006/extended-properties" xmlns:vt="http://schemas.openxmlformats.org/officeDocument/2006/docPropsVTypes">
  <Template>Normal</Template>
  <Pages>8</Pages>
  <Words>6297</Words>
  <Characters>17858</Characters>
  <Lines>143</Lines>
  <Paragraphs>40</Paragraphs>
  <TotalTime>19</TotalTime>
  <ScaleCrop>false</ScaleCrop>
  <LinksUpToDate>false</LinksUpToDate>
  <CharactersWithSpaces>19952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2024-10-10T23:32:00Z</dcterms:created>
  <dc:creator>echo</dc:creator>
  <cp:lastModifiedBy>xujiajian</cp:lastModifiedBy>
  <cp:lastPrinted>2024-08-21T07:56:00Z</cp:lastPrinted>
  <dcterms:modified xsi:type="dcterms:W3CDTF">2024-10-11T05:10:52Z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AF030D82C7D94AD5B8347FBE8996D0D1_13</vt:lpwstr>
  </property>
</Properties>
</file>